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Responsible Father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810.</w:t>
      </w:r>
      <w:r>
        <w:rPr>
          <w:rFonts w:cs="Times New Roman"/>
          <w:color w:val="000000" w:themeColor="text1"/>
          <w:u w:color="000000" w:themeColor="text1"/>
        </w:rPr>
        <w:tab/>
      </w:r>
      <w:r>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 63</w:t>
      </w:r>
      <w:r>
        <w:rPr>
          <w:rFonts w:cs="Times New Roman"/>
          <w:color w:val="000000" w:themeColor="text1"/>
          <w:u w:color="000000" w:themeColor="text1"/>
        </w:rPr>
        <w:noBreakHyphen/>
        <w:t>9</w:t>
      </w:r>
      <w:r>
        <w:rPr>
          <w:rFonts w:cs="Times New Roman"/>
          <w:color w:val="000000" w:themeColor="text1"/>
          <w:u w:color="000000" w:themeColor="text1"/>
        </w:rPr>
        <w:noBreakHyphen/>
        <w:t>820.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There is established within the Department of Social Services the Responsible Father Registry, which the department shall maintain.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‘Department’ means the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‘Registrant’ means an unmarried biological father or a male who claims to be the unmarried biological father of a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‘Registry’ means the Responsible Father Registry as established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‘Unmarried biological father’ means a male who is not married to the biological mother of a child of whom he is or claims to be the natural father.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Except for a person who is required to receive notice pursuant to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claim of paternity must be signed by the registrant and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registrant’s name,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mother’s name and, if known, her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if known, the child’s name, place of birth,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if known, the date, county, and state of conception of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the date the claim is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department shall issue a certificate to the registrant verifying that the claim of paternity, revocation, or change of address has been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No fee may be charged for filing a claim of paternity, a revocation, or a change of address with the registry.  The department may charge a reasonable fee for processing searches of the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(K)</w:t>
      </w:r>
      <w:r>
        <w:rPr>
          <w:rFonts w:cs="Times New Roman"/>
          <w:color w:val="000000" w:themeColor="text1"/>
          <w:u w:color="000000" w:themeColor="text1"/>
        </w:rPr>
        <w:tab/>
        <w:t>Except as set forth in Section 63</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(L)</w:t>
      </w:r>
      <w:r>
        <w:rPr>
          <w:rFonts w:cs="Times New Roman"/>
          <w:color w:val="000000" w:themeColor="text1"/>
          <w:u w:color="000000" w:themeColor="text1"/>
        </w:rPr>
        <w:tab/>
        <w:t>An unmarried biological father’s failure to file a claim of paternity with the registry is deemed to be a lack of proper diligence under Section 63</w:t>
      </w:r>
      <w:r>
        <w:rPr>
          <w:rFonts w:cs="Times New Roman"/>
          <w:color w:val="000000" w:themeColor="text1"/>
          <w:u w:color="000000" w:themeColor="text1"/>
        </w:rPr>
        <w:noBreakHyphen/>
        <w:t>9</w:t>
      </w:r>
      <w:r>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(M)(1)</w:t>
      </w:r>
      <w:r>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department shall disclose the contents of the registry upon order of a court of competent jurisdiction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the department may file a written request with the registry regarding a child for whom the department has an open case for child welfare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 xml:space="preserve">(i) </w:t>
      </w:r>
      <w:r>
        <w:rPr>
          <w:rFonts w:cs="Times New Roman"/>
          <w:color w:val="000000" w:themeColor="text1"/>
          <w:u w:color="000000" w:themeColor="text1"/>
        </w:rPr>
        <w:tab/>
        <w:t>the mother’s name and, if known, her address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w:t>
      </w:r>
      <w:r>
        <w:rPr>
          <w:rFonts w:cs="Times New Roman"/>
          <w:color w:val="000000" w:themeColor="text1"/>
          <w:u w:color="000000" w:themeColor="text1"/>
        </w:rPr>
        <w:tab/>
        <w:t>if known, the child’s date of birth and place of birth;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(iii)</w:t>
      </w:r>
      <w:r>
        <w:rPr>
          <w:rFonts w:cs="Times New Roman"/>
          <w:color w:val="000000" w:themeColor="text1"/>
          <w:u w:color="000000" w:themeColor="text1"/>
        </w:rPr>
        <w:tab/>
        <w:t>if known, the date, county, and state of conception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(N)</w:t>
      </w:r>
      <w:r>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(O)</w:t>
      </w:r>
      <w:r>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(P)</w:t>
      </w:r>
      <w:r>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(Q)</w:t>
      </w:r>
      <w:r>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(R)(1)</w:t>
      </w:r>
      <w:r>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63</w:t>
      </w:r>
      <w:r>
        <w:rPr>
          <w:rFonts w:cs="Times New Roman"/>
          <w:color w:val="000000" w:themeColor="text1"/>
          <w:u w:color="000000" w:themeColor="text1"/>
        </w:rPr>
        <w:noBreakHyphen/>
        <w:t>9</w:t>
      </w:r>
      <w:r>
        <w:rPr>
          <w:rFonts w:cs="Times New Roman"/>
          <w:color w:val="000000" w:themeColor="text1"/>
          <w:u w:color="000000" w:themeColor="text1"/>
        </w:rPr>
        <w:noBreakHyphen/>
        <w:t>730(B)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“(B)</w:t>
      </w:r>
      <w:r>
        <w:rPr>
          <w:rFonts w:eastAsia="Times New Roman" w:cs="Times New Roman"/>
          <w:color w:val="000000"/>
          <w:szCs w:val="20"/>
        </w:rPr>
        <w:tab/>
        <w:t xml:space="preserve">The following persons or agencies are entitled to notice as provided in subsection (A) </w:t>
      </w:r>
      <w:r>
        <w:rPr>
          <w:rFonts w:eastAsia="Times New Roman" w:cs="Times New Roman"/>
          <w:strike/>
          <w:color w:val="000000"/>
          <w:szCs w:val="20"/>
        </w:rPr>
        <w:t>of this section</w:t>
      </w:r>
      <w:r>
        <w:rPr>
          <w:rFonts w:eastAsia="Times New Roman" w:cs="Times New Roman"/>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adjudicated by a court in this State to be the father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or agency required to give consent or relinquishment pursuant to </w:t>
      </w:r>
      <w:r>
        <w:rPr>
          <w:rFonts w:eastAsia="Times New Roman" w:cs="Times New Roman"/>
          <w:strike/>
          <w:color w:val="000000"/>
          <w:szCs w:val="20"/>
        </w:rPr>
        <w:t>subsections (A) or (B)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310</w:t>
      </w:r>
      <w:r>
        <w:rPr>
          <w:rFonts w:eastAsia="Times New Roman" w:cs="Times New Roman"/>
          <w:color w:val="000000"/>
          <w:szCs w:val="20"/>
          <w:u w:val="single"/>
        </w:rPr>
        <w:t>(A) or (B)</w:t>
      </w:r>
      <w:r>
        <w:rPr>
          <w:rFonts w:eastAsia="Times New Roman" w:cs="Times New Roman"/>
          <w:color w:val="000000"/>
          <w:szCs w:val="20"/>
        </w:rPr>
        <w:t xml:space="preserve"> from whom consent or relinquishment cannot be obtained;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r>
      <w:r>
        <w:rPr>
          <w:rFonts w:eastAsia="Times New Roman" w:cs="Times New Roman"/>
          <w:strike/>
          <w:color w:val="000000"/>
          <w:szCs w:val="20"/>
        </w:rPr>
        <w:t>the father of the child whose consent or relinquishment is not required pursuant to items (4) or (5) of subsection (A) of Section 63</w:t>
      </w:r>
      <w:r>
        <w:rPr>
          <w:rFonts w:eastAsia="Times New Roman" w:cs="Times New Roman"/>
          <w:strike/>
          <w:color w:val="000000"/>
          <w:szCs w:val="20"/>
        </w:rPr>
        <w:noBreakHyphen/>
        <w:t>9</w:t>
      </w:r>
      <w:r>
        <w:rPr>
          <w:rFonts w:eastAsia="Times New Roman" w:cs="Times New Roman"/>
          <w:strike/>
          <w:color w:val="000000"/>
          <w:szCs w:val="20"/>
        </w:rPr>
        <w:noBreakHyphen/>
        <w:t>310</w:t>
      </w:r>
      <w:r>
        <w:rPr>
          <w:rFonts w:eastAsia="Times New Roman" w:cs="Times New Roman"/>
          <w:color w:val="000000"/>
          <w:szCs w:val="20"/>
        </w:rPr>
        <w:t xml:space="preserve"> </w:t>
      </w:r>
      <w:r>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Pr>
          <w:rFonts w:eastAsia="Times New Roman" w:cs="Times New Roman"/>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recorded on the child’s birth certificate as the child’s father</w:t>
      </w:r>
      <w:r>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w:t>
      </w:r>
      <w:r>
        <w:rPr>
          <w:rFonts w:eastAsia="Times New Roman" w:cs="Times New Roman"/>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is openly living with the child or the child’s mother, or both, at the time the </w:t>
      </w:r>
      <w:r>
        <w:rPr>
          <w:rFonts w:eastAsia="Times New Roman" w:cs="Times New Roman"/>
          <w:strike/>
          <w:color w:val="000000"/>
          <w:szCs w:val="20"/>
        </w:rPr>
        <w:t>adoption</w:t>
      </w:r>
      <w:r>
        <w:rPr>
          <w:rFonts w:eastAsia="Times New Roman" w:cs="Times New Roman"/>
          <w:color w:val="000000"/>
          <w:szCs w:val="20"/>
        </w:rPr>
        <w:t xml:space="preserve"> proceeding is initiated</w:t>
      </w:r>
      <w:r>
        <w:rPr>
          <w:rFonts w:eastAsia="Times New Roman" w:cs="Times New Roman"/>
          <w:strike/>
          <w:color w:val="000000"/>
          <w:szCs w:val="20"/>
        </w:rPr>
        <w:t>,</w:t>
      </w:r>
      <w:r>
        <w:rPr>
          <w:rFonts w:eastAsia="Times New Roman" w:cs="Times New Roman"/>
          <w:color w:val="000000"/>
          <w:szCs w:val="20"/>
        </w:rPr>
        <w:t xml:space="preserve"> and who is holding himself out to be the child’s father;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who has been identified as the child’s father by the mother in a sworn, written statement;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r>
      <w:r>
        <w:rPr>
          <w:rFonts w:eastAsia="Times New Roman" w:cs="Times New Roman"/>
          <w:strike/>
          <w:color w:val="000000"/>
          <w:szCs w:val="20"/>
        </w:rPr>
        <w:t>any</w:t>
      </w:r>
      <w:r>
        <w:rPr>
          <w:rFonts w:eastAsia="Times New Roman" w:cs="Times New Roman"/>
          <w:color w:val="000000"/>
          <w:szCs w:val="20"/>
        </w:rPr>
        <w:t xml:space="preserve"> </w:t>
      </w:r>
      <w:r>
        <w:rPr>
          <w:rFonts w:eastAsia="Times New Roman" w:cs="Times New Roman"/>
          <w:color w:val="000000"/>
          <w:szCs w:val="20"/>
          <w:u w:val="single"/>
        </w:rPr>
        <w:t>a</w:t>
      </w:r>
      <w:r>
        <w:rPr>
          <w:rFonts w:eastAsia="Times New Roman" w:cs="Times New Roman"/>
          <w:color w:val="000000"/>
          <w:szCs w:val="20"/>
        </w:rPr>
        <w:t xml:space="preserve"> person from whom consent or relinquishment is not required pursuant to </w:t>
      </w:r>
      <w:r>
        <w:rPr>
          <w:rFonts w:eastAsia="Times New Roman" w:cs="Times New Roman"/>
          <w:strike/>
          <w:color w:val="000000"/>
          <w:szCs w:val="20"/>
        </w:rPr>
        <w:t>item (2) of subsection (A) of</w:t>
      </w:r>
      <w:r>
        <w:rPr>
          <w:rFonts w:eastAsia="Times New Roman" w:cs="Times New Roman"/>
          <w:color w:val="000000"/>
          <w:szCs w:val="20"/>
        </w:rPr>
        <w:t xml:space="preserve"> Section 63</w:t>
      </w:r>
      <w:r>
        <w:rPr>
          <w:rFonts w:eastAsia="Times New Roman" w:cs="Times New Roman"/>
          <w:color w:val="000000"/>
          <w:szCs w:val="20"/>
        </w:rPr>
        <w:noBreakHyphen/>
        <w:t>9</w:t>
      </w:r>
      <w:r>
        <w:rPr>
          <w:rFonts w:eastAsia="Times New Roman" w:cs="Times New Roman"/>
          <w:color w:val="000000"/>
          <w:szCs w:val="20"/>
        </w:rPr>
        <w:noBreakHyphen/>
        <w:t>320</w:t>
      </w:r>
      <w:r>
        <w:rPr>
          <w:rFonts w:eastAsia="Times New Roman" w:cs="Times New Roman"/>
          <w:color w:val="000000"/>
          <w:szCs w:val="20"/>
          <w:u w:val="single"/>
        </w:rPr>
        <w:t>(A)(2)</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Section 63</w:t>
      </w:r>
      <w:r>
        <w:rPr>
          <w:rFonts w:eastAsia="Times New Roman" w:cs="Times New Roman"/>
          <w:color w:val="000000"/>
          <w:szCs w:val="20"/>
        </w:rPr>
        <w:noBreakHyphen/>
        <w:t>7</w:t>
      </w:r>
      <w:r>
        <w:rPr>
          <w:rFonts w:eastAsia="Times New Roman" w:cs="Times New Roman"/>
          <w:color w:val="000000"/>
          <w:szCs w:val="20"/>
        </w:rPr>
        <w:noBreakHyphen/>
        <w:t>2530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2530.</w:t>
      </w:r>
      <w:r>
        <w:rPr>
          <w:rFonts w:cs="Times New Roman"/>
          <w:color w:val="000000" w:themeColor="text1"/>
          <w:u w:color="000000" w:themeColor="text1"/>
        </w:rPr>
        <w:tab/>
      </w:r>
      <w:r>
        <w:rPr>
          <w:rFonts w:eastAsia="Times New Roman" w:cs="Times New Roman"/>
          <w:color w:val="000000"/>
          <w:szCs w:val="20"/>
        </w:rPr>
        <w:t>(A)</w:t>
      </w:r>
      <w:r>
        <w:rPr>
          <w:rFonts w:eastAsia="Times New Roman" w:cs="Times New Roman"/>
          <w:color w:val="000000"/>
          <w:szCs w:val="20"/>
        </w:rPr>
        <w:tab/>
        <w:t xml:space="preserve">A petition seeking termination of parental rights may be filed by the Department of Social Services or any interested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eastAsia="Times New Roman" w:cs="Times New Roman"/>
          <w:color w:val="000000"/>
          <w:szCs w:val="20"/>
        </w:rPr>
        <w:tab/>
        <w:t>(B)</w:t>
      </w:r>
      <w:r>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Pr>
          <w:rFonts w:eastAsia="Times New Roman" w:cs="Times New Roman"/>
          <w:color w:val="000000"/>
          <w:szCs w:val="20"/>
        </w:rPr>
        <w:noBreakHyphen/>
        <w:t>7</w:t>
      </w:r>
      <w:r>
        <w:rPr>
          <w:rFonts w:eastAsia="Times New Roman" w:cs="Times New Roman"/>
          <w:color w:val="000000"/>
          <w:szCs w:val="20"/>
        </w:rPr>
        <w:noBreakHyphen/>
        <w:t>1680 and without first seeking an amendment of the placement plan pursuant to Section 63</w:t>
      </w:r>
      <w:r>
        <w:rPr>
          <w:rFonts w:eastAsia="Times New Roman" w:cs="Times New Roman"/>
          <w:color w:val="000000"/>
          <w:szCs w:val="20"/>
        </w:rPr>
        <w:noBreakHyphen/>
        <w:t>7</w:t>
      </w:r>
      <w:r>
        <w:rPr>
          <w:rFonts w:eastAsia="Times New Roman" w:cs="Times New Roman"/>
          <w:color w:val="000000"/>
          <w:szCs w:val="20"/>
        </w:rPr>
        <w:noBreakHyphen/>
        <w:t xml:space="preserve">1700.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 of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cs="Times New Roman"/>
          <w:color w:val="000000" w:themeColor="text1"/>
          <w:u w:color="000000" w:themeColor="text1"/>
        </w:rPr>
        <w:tab/>
        <w:t>“Section 63</w:t>
      </w:r>
      <w:r>
        <w:rPr>
          <w:rFonts w:cs="Times New Roman"/>
          <w:color w:val="000000" w:themeColor="text1"/>
          <w:u w:color="000000" w:themeColor="text1"/>
        </w:rPr>
        <w:noBreakHyphen/>
        <w:t>7</w:t>
      </w:r>
      <w:r>
        <w:rPr>
          <w:rFonts w:cs="Times New Roman"/>
          <w:color w:val="000000" w:themeColor="text1"/>
          <w:u w:color="000000" w:themeColor="text1"/>
        </w:rPr>
        <w:noBreakHyphen/>
        <w:t>2550.</w:t>
      </w: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eastAsia="Times New Roman" w:cs="Times New Roman"/>
          <w:color w:val="000000"/>
          <w:szCs w:val="20"/>
        </w:rPr>
        <w:t xml:space="preserve">A summons and petition for termination of parental rights must be filed with the court and served 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child</w:t>
      </w:r>
      <w:r>
        <w:rPr>
          <w:rFonts w:eastAsia="Times New Roman" w:cs="Times New Roman"/>
          <w:color w:val="000000"/>
          <w:szCs w:val="20"/>
          <w:u w:val="single"/>
        </w:rPr>
        <w:t>, if the child is fourteen years of age or older</w:t>
      </w:r>
      <w:r>
        <w:rPr>
          <w:rFonts w:eastAsia="Times New Roman" w:cs="Times New Roman"/>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r>
      <w:r>
        <w:rPr>
          <w:rFonts w:eastAsia="Times New Roman" w:cs="Times New Roman"/>
          <w:color w:val="000000"/>
          <w:szCs w:val="20"/>
          <w:u w:val="single"/>
        </w:rPr>
        <w:t>the child’s guardian ad litem, appointed pursuant to Section 63</w:t>
      </w:r>
      <w:r>
        <w:rPr>
          <w:rFonts w:eastAsia="Times New Roman" w:cs="Times New Roman"/>
          <w:color w:val="000000"/>
          <w:szCs w:val="20"/>
          <w:u w:val="single"/>
        </w:rPr>
        <w:noBreakHyphen/>
        <w:t>7</w:t>
      </w:r>
      <w:r>
        <w:rPr>
          <w:rFonts w:eastAsia="Times New Roman" w:cs="Times New Roman"/>
          <w:color w:val="000000"/>
          <w:szCs w:val="20"/>
          <w:u w:val="single"/>
        </w:rPr>
        <w:noBreakHyphen/>
        <w:t>2560(B), if the child is under fourteen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u w:val="single"/>
        </w:rPr>
        <w:t>(3)</w:t>
      </w:r>
      <w:r>
        <w:rPr>
          <w:rFonts w:eastAsia="Times New Roman" w:cs="Times New Roman"/>
          <w:color w:val="000000"/>
          <w:szCs w:val="20"/>
        </w:rPr>
        <w:tab/>
        <w:t xml:space="preserve">the parents of the child;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strike/>
          <w:color w:val="000000"/>
          <w:szCs w:val="20"/>
        </w:rPr>
        <w:t>(3)</w:t>
      </w:r>
      <w:r>
        <w:rPr>
          <w:rFonts w:eastAsia="Times New Roman" w:cs="Times New Roman"/>
          <w:color w:val="000000"/>
          <w:szCs w:val="20"/>
          <w:u w:val="single"/>
        </w:rPr>
        <w:t>(4)</w:t>
      </w:r>
      <w:r>
        <w:rPr>
          <w:rFonts w:eastAsia="Times New Roman" w:cs="Times New Roman"/>
          <w:color w:val="000000"/>
          <w:szCs w:val="20"/>
        </w:rPr>
        <w:tab/>
        <w:t>an agency with placement or custody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u w:val="single"/>
        </w:rPr>
        <w:t>(B)</w:t>
      </w:r>
      <w:r>
        <w:rPr>
          <w:rFonts w:eastAsia="Times New Roman" w:cs="Times New Roman"/>
          <w:color w:val="000000"/>
          <w:szCs w:val="20"/>
        </w:rPr>
        <w:tab/>
      </w:r>
      <w:r>
        <w:rPr>
          <w:rFonts w:eastAsia="Times New Roman" w:cs="Times New Roman"/>
          <w:color w:val="000000"/>
          <w:szCs w:val="20"/>
          <w:u w:val="single"/>
        </w:rPr>
        <w:t>The right of an unmarried biological father, as defined in Section 63</w:t>
      </w:r>
      <w:r>
        <w:rPr>
          <w:rFonts w:eastAsia="Times New Roman" w:cs="Times New Roman"/>
          <w:color w:val="000000"/>
          <w:szCs w:val="20"/>
          <w:u w:val="single"/>
        </w:rPr>
        <w:noBreakHyphen/>
        <w:t>9</w:t>
      </w:r>
      <w:r>
        <w:rPr>
          <w:rFonts w:eastAsia="Times New Roman" w:cs="Times New Roman"/>
          <w:color w:val="000000"/>
          <w:szCs w:val="20"/>
          <w:u w:val="single"/>
        </w:rPr>
        <w:noBreakHyphen/>
        <w:t>820, to receive notice of a termination of parental rights action must be governed by the notice provisions of Section 63</w:t>
      </w:r>
      <w:r>
        <w:rPr>
          <w:rFonts w:eastAsia="Times New Roman" w:cs="Times New Roman"/>
          <w:color w:val="000000"/>
          <w:szCs w:val="20"/>
          <w:u w:val="single"/>
        </w:rPr>
        <w:noBreakHyphen/>
        <w:t>9</w:t>
      </w:r>
      <w:r>
        <w:rPr>
          <w:rFonts w:eastAsia="Times New Roman" w:cs="Times New Roman"/>
          <w:color w:val="000000"/>
          <w:szCs w:val="20"/>
          <w:u w:val="single"/>
        </w:rPr>
        <w:noBreakHyphen/>
        <w:t>730(B)(1), (3), (4), (5), and (6), and Subarticle 8, Chapter 9.</w:t>
      </w:r>
      <w:r>
        <w:rPr>
          <w:rFonts w:eastAsia="Times New Roman" w:cs="Times New Roman"/>
          <w:color w:val="000000"/>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Pr>
          <w:rFonts w:eastAsia="Times New Roman" w:cs="Times New Roman"/>
          <w:szCs w:val="20"/>
        </w:rPr>
        <w:noBreakHyphen/>
        <w:t>9</w:t>
      </w:r>
      <w:r>
        <w:rPr>
          <w:rFonts w:eastAsia="Times New Roman" w:cs="Times New Roman"/>
          <w:szCs w:val="20"/>
        </w:rPr>
        <w:noBreakHyphen/>
        <w:t>730 of the 1976 Code, as amended by Section 2 of this act, affecting an unmarried biological father’s right to receive notice in a termination of parental rights or an adoption action by filing a claim of paternity and Section 63</w:t>
      </w:r>
      <w:r>
        <w:rPr>
          <w:rFonts w:eastAsia="Times New Roman" w:cs="Times New Roman"/>
          <w:szCs w:val="20"/>
        </w:rPr>
        <w:noBreakHyphen/>
        <w:t>7</w:t>
      </w:r>
      <w:r>
        <w:rPr>
          <w:rFonts w:eastAsia="Times New Roman" w:cs="Times New Roman"/>
          <w:szCs w:val="20"/>
        </w:rPr>
        <w:noBreakHyphen/>
        <w:t>2250(B) of the 1976 Code, as added by Section 4 of this act, apply to termination of parental rights actions and adoption actions filed one year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4B795-F102-49D9-9B53-2C5062754E69}"/>
    <w:embedBold r:id="rId2" w:fontKey="{DBEBE5A6-9EC2-4D1C-85EF-E49D8C3E7654}"/>
  </w:font>
  <w:font w:name="Calibri">
    <w:panose1 w:val="020F0502020204030204"/>
    <w:charset w:val="00"/>
    <w:family w:val="swiss"/>
    <w:pitch w:val="variable"/>
    <w:sig w:usb0="A00002EF" w:usb1="4000207B" w:usb2="00000000" w:usb3="00000000" w:csb0="0000009F" w:csb1="00000000"/>
    <w:embedRegular r:id="rId3" w:fontKey="{5787C99A-358E-438E-B93C-E20CED3B9F40}"/>
  </w:font>
  <w:font w:name="Tahoma">
    <w:panose1 w:val="020B0604030504040204"/>
    <w:charset w:val="00"/>
    <w:family w:val="swiss"/>
    <w:pitch w:val="variable"/>
    <w:sig w:usb0="61002A87" w:usb1="80000000" w:usb2="00000008" w:usb3="00000000" w:csb0="000101FF" w:csb1="00000000"/>
    <w:embedRegular r:id="rId4" w:fontKey="{F71163D9-B024-447A-9329-7BB6750AFAF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400CDD8-81D7-42FA-B708-C131BEDC27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[284]</w:t>
    </w:r>
    <w:r>
      <w:tab/>
    </w:r>
    <w:fldSimple w:instr=" PAGE  \* MERGEFORMAT ">
      <w:r>
        <w:rPr>
          <w:noProof/>
        </w:rPr>
        <w:t>7</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2159</Words>
  <Characters>12309</Characters>
  <Application>Microsoft Office Word</Application>
  <DocSecurity>0</DocSecurity>
  <Lines>102</Lines>
  <Paragraphs>28</Paragraphs>
  <ScaleCrop>false</ScaleCrop>
  <Company>Project Management</Company>
  <LinksUpToDate>false</LinksUpToDate>
  <CharactersWithSpaces>14440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2009-01-15T16:43:00Z</dcterms:created>
  <dcterms:modified xsi:type="dcterms:W3CDTF">2009-01-15T16:43:00Z</dcterms:modified>
</cp:coreProperties>
</file>