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566"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A15566" w:rsidRPr="00A15566"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A15566"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15566"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A15566"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31, 2010</w:t>
      </w:r>
    </w:p>
    <w:p w:rsidR="00A15566"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15566" w:rsidRPr="00A15566" w:rsidRDefault="00A15566" w:rsidP="00A15566">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285</w:t>
      </w:r>
    </w:p>
    <w:p w:rsidR="00A15566"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15566"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Malloy and Bright</w:t>
      </w:r>
    </w:p>
    <w:p w:rsidR="00A15566"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15566" w:rsidRDefault="00A15566" w:rsidP="000B0F97">
      <w:pPr>
        <w:tabs>
          <w:tab w:val="right" w:pos="5933"/>
        </w:tabs>
        <w:suppressAutoHyphens/>
        <w:rPr>
          <w:rFonts w:eastAsia="Times New Roman" w:cs="Times New Roman"/>
        </w:rPr>
      </w:pPr>
      <w:r>
        <w:rPr>
          <w:rFonts w:eastAsia="Times New Roman" w:cs="Times New Roman"/>
        </w:rPr>
        <w:t>S. Printed 3/31/10--S.</w:t>
      </w:r>
      <w:r w:rsidR="000B0F97">
        <w:rPr>
          <w:rFonts w:eastAsia="Times New Roman" w:cs="Times New Roman"/>
        </w:rPr>
        <w:tab/>
        <w:t>[SEC 4/6/10 4:31 PM]</w:t>
      </w:r>
    </w:p>
    <w:p w:rsidR="00A15566"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15, 2009.</w:t>
      </w:r>
    </w:p>
    <w:p w:rsidR="00A15566" w:rsidRPr="00A15566"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A15566"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15566" w:rsidRPr="00A15566"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JUDICIARY</w:t>
      </w:r>
    </w:p>
    <w:p w:rsidR="00A15566"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To whom was referred a Bill (S. 285) to amend Section 22</w:t>
      </w:r>
      <w:r>
        <w:rPr>
          <w:rFonts w:eastAsia="Times New Roman" w:cs="Times New Roman"/>
        </w:rPr>
        <w:noBreakHyphen/>
        <w:t>3</w:t>
      </w:r>
      <w:r>
        <w:rPr>
          <w:rFonts w:eastAsia="Times New Roman" w:cs="Times New Roman"/>
        </w:rPr>
        <w:noBreakHyphen/>
        <w:t>10 of the 1976 Code, relating to the civil jurisdiction of magistrates, to increase the civil jurisdiction to fifteen thousand, etc., respectfully</w:t>
      </w:r>
    </w:p>
    <w:p w:rsidR="00A15566" w:rsidRPr="00A15566"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A15566"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A15566"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AD49C2">
        <w:rPr>
          <w:rFonts w:eastAsia="Times New Roman" w:cs="Times New Roman"/>
          <w:snapToGrid w:val="0"/>
          <w:szCs w:val="20"/>
        </w:rPr>
        <w:tab/>
        <w:t>Amend the bill, as and if amended, by striking the bill in its entirety and inserting therein the following:</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30"/>
        </w:rPr>
      </w:pPr>
      <w:r>
        <w:rPr>
          <w:rFonts w:eastAsia="Times New Roman" w:cs="Times New Roman"/>
          <w:snapToGrid w:val="0"/>
          <w:szCs w:val="20"/>
        </w:rPr>
        <w:tab/>
      </w:r>
      <w:r w:rsidRPr="00AD49C2">
        <w:rPr>
          <w:rFonts w:eastAsia="Times New Roman" w:cs="Times New Roman"/>
          <w:snapToGrid w:val="0"/>
          <w:szCs w:val="20"/>
        </w:rPr>
        <w:t>/</w:t>
      </w:r>
      <w:r w:rsidRPr="00AD49C2">
        <w:rPr>
          <w:rFonts w:eastAsia="Times New Roman" w:cs="Times New Roman"/>
          <w:snapToGrid w:val="0"/>
          <w:szCs w:val="20"/>
        </w:rPr>
        <w:tab/>
      </w:r>
      <w:r w:rsidRPr="00AD49C2">
        <w:rPr>
          <w:rFonts w:eastAsia="Times New Roman" w:cs="Times New Roman"/>
          <w:snapToGrid w:val="0"/>
          <w:szCs w:val="20"/>
        </w:rPr>
        <w:tab/>
      </w:r>
      <w:r w:rsidRPr="00AD49C2">
        <w:rPr>
          <w:rFonts w:eastAsia="Times New Roman" w:cs="Times New Roman"/>
          <w:snapToGrid w:val="0"/>
          <w:szCs w:val="20"/>
        </w:rPr>
        <w:tab/>
      </w:r>
      <w:r w:rsidRPr="00AD49C2">
        <w:rPr>
          <w:rFonts w:eastAsia="Times New Roman" w:cs="Times New Roman"/>
          <w:szCs w:val="30"/>
        </w:rPr>
        <w:t>A BILL</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sidRPr="00AD49C2">
        <w:rPr>
          <w:rFonts w:eastAsia="Times New Roman" w:cs="Times New Roman"/>
        </w:rPr>
        <w:t>TO AMEND SECTION 22</w:t>
      </w:r>
      <w:r w:rsidRPr="00AD49C2">
        <w:rPr>
          <w:rFonts w:eastAsia="Times New Roman" w:cs="Times New Roman"/>
        </w:rPr>
        <w:noBreakHyphen/>
        <w:t>3</w:t>
      </w:r>
      <w:r w:rsidRPr="00AD49C2">
        <w:rPr>
          <w:rFonts w:eastAsia="Times New Roman" w:cs="Times New Roman"/>
        </w:rPr>
        <w:noBreakHyphen/>
        <w:t>10 OF THE SOUTH CAROLINA CODE OF LAWS, 1976, RELATING TO THE CIVIL JURISDICTION OF MAGISTRATES, TO INCREASE THE CIVIL JURISDICTION TO TEN THOUSAND DOLLARS.</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sidRPr="00AD49C2">
        <w:rPr>
          <w:rFonts w:eastAsia="Times New Roman" w:cs="Times New Roman"/>
        </w:rPr>
        <w:t>Be it enacted by the General Assembly of the State of South Carolina:</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Pr>
          <w:rFonts w:eastAsia="Times New Roman" w:cs="Times New Roman"/>
          <w:u w:color="000000" w:themeColor="text1"/>
        </w:rPr>
        <w:tab/>
      </w:r>
      <w:r w:rsidRPr="00AD49C2">
        <w:rPr>
          <w:rFonts w:eastAsia="Times New Roman" w:cs="Times New Roman"/>
          <w:u w:color="000000" w:themeColor="text1"/>
        </w:rPr>
        <w:t>SECTION</w:t>
      </w:r>
      <w:r w:rsidRPr="00AD49C2">
        <w:rPr>
          <w:rFonts w:eastAsia="Times New Roman" w:cs="Times New Roman"/>
          <w:u w:color="000000" w:themeColor="text1"/>
        </w:rPr>
        <w:tab/>
        <w:t>1.</w:t>
      </w:r>
      <w:r w:rsidRPr="00AD49C2">
        <w:rPr>
          <w:rFonts w:eastAsia="Times New Roman" w:cs="Times New Roman"/>
          <w:u w:color="000000" w:themeColor="text1"/>
        </w:rPr>
        <w:tab/>
      </w:r>
      <w:r w:rsidRPr="00AD49C2">
        <w:rPr>
          <w:rFonts w:eastAsia="Times New Roman" w:cs="Times New Roman"/>
          <w:szCs w:val="20"/>
          <w:u w:color="000000" w:themeColor="text1"/>
        </w:rPr>
        <w:t>Section 22</w:t>
      </w:r>
      <w:r w:rsidRPr="00AD49C2">
        <w:rPr>
          <w:rFonts w:eastAsia="Times New Roman" w:cs="Times New Roman"/>
          <w:szCs w:val="20"/>
          <w:u w:color="000000" w:themeColor="text1"/>
        </w:rPr>
        <w:noBreakHyphen/>
        <w:t>3</w:t>
      </w:r>
      <w:r w:rsidRPr="00AD49C2">
        <w:rPr>
          <w:rFonts w:eastAsia="Times New Roman" w:cs="Times New Roman"/>
          <w:szCs w:val="20"/>
          <w:u w:color="000000" w:themeColor="text1"/>
        </w:rPr>
        <w:noBreakHyphen/>
        <w:t>10 of the 1976 Code is amended to read:</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sidRPr="00AD49C2">
        <w:rPr>
          <w:rFonts w:eastAsia="Times New Roman" w:cs="Times New Roman"/>
          <w:szCs w:val="20"/>
          <w:u w:color="000000" w:themeColor="text1"/>
        </w:rPr>
        <w:tab/>
        <w:t>“S</w:t>
      </w:r>
      <w:r w:rsidRPr="00AD49C2">
        <w:rPr>
          <w:rFonts w:eastAsia="Times New Roman" w:cs="Times New Roman"/>
          <w:bCs/>
          <w:szCs w:val="20"/>
          <w:u w:color="000000" w:themeColor="text1"/>
        </w:rPr>
        <w:t>ection 22</w:t>
      </w:r>
      <w:r w:rsidRPr="00AD49C2">
        <w:rPr>
          <w:rFonts w:eastAsia="Times New Roman" w:cs="Times New Roman"/>
          <w:bCs/>
          <w:szCs w:val="20"/>
          <w:u w:color="000000" w:themeColor="text1"/>
        </w:rPr>
        <w:noBreakHyphen/>
        <w:t>3</w:t>
      </w:r>
      <w:r w:rsidRPr="00AD49C2">
        <w:rPr>
          <w:rFonts w:eastAsia="Times New Roman" w:cs="Times New Roman"/>
          <w:bCs/>
          <w:szCs w:val="20"/>
          <w:u w:color="000000" w:themeColor="text1"/>
        </w:rPr>
        <w:noBreakHyphen/>
        <w:t>10.</w:t>
      </w:r>
      <w:r w:rsidRPr="00AD49C2">
        <w:rPr>
          <w:rFonts w:eastAsia="Times New Roman" w:cs="Times New Roman"/>
          <w:bCs/>
          <w:szCs w:val="20"/>
          <w:u w:color="000000" w:themeColor="text1"/>
        </w:rPr>
        <w:tab/>
      </w:r>
      <w:r w:rsidRPr="00AD49C2">
        <w:rPr>
          <w:rFonts w:eastAsia="Times New Roman" w:cs="Times New Roman"/>
          <w:szCs w:val="20"/>
          <w:u w:color="000000" w:themeColor="text1"/>
        </w:rPr>
        <w:t xml:space="preserve">Magistrates have concurrent civil jurisdiction in the following cases: </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sidRPr="00AD49C2">
        <w:rPr>
          <w:rFonts w:eastAsia="Times New Roman" w:cs="Times New Roman"/>
          <w:szCs w:val="20"/>
          <w:u w:color="000000" w:themeColor="text1"/>
        </w:rPr>
        <w:tab/>
        <w:t>(1)</w:t>
      </w:r>
      <w:r w:rsidRPr="00AD49C2">
        <w:rPr>
          <w:rFonts w:eastAsia="Times New Roman" w:cs="Times New Roman"/>
          <w:szCs w:val="20"/>
          <w:u w:color="000000" w:themeColor="text1"/>
        </w:rPr>
        <w:tab/>
        <w:t xml:space="preserve">in actions arising on contracts for the recovery of money only, if the sum claimed does not exceed </w:t>
      </w:r>
      <w:r w:rsidRPr="00AD49C2">
        <w:rPr>
          <w:rFonts w:eastAsia="Times New Roman" w:cs="Times New Roman"/>
          <w:strike/>
          <w:szCs w:val="20"/>
          <w:u w:color="000000" w:themeColor="text1"/>
        </w:rPr>
        <w:t>seven thousand five hundred</w:t>
      </w:r>
      <w:r w:rsidRPr="00AD49C2">
        <w:rPr>
          <w:rFonts w:eastAsia="Times New Roman" w:cs="Times New Roman"/>
          <w:szCs w:val="20"/>
          <w:u w:color="000000" w:themeColor="text1"/>
        </w:rPr>
        <w:t xml:space="preserve"> </w:t>
      </w:r>
      <w:r w:rsidRPr="00AD49C2">
        <w:rPr>
          <w:rFonts w:eastAsia="Times New Roman" w:cs="Times New Roman"/>
          <w:szCs w:val="20"/>
          <w:u w:val="single" w:color="000000" w:themeColor="text1"/>
        </w:rPr>
        <w:t>ten thousand</w:t>
      </w:r>
      <w:r w:rsidRPr="00AD49C2">
        <w:rPr>
          <w:rFonts w:eastAsia="Times New Roman" w:cs="Times New Roman"/>
          <w:szCs w:val="20"/>
          <w:u w:color="000000" w:themeColor="text1"/>
        </w:rPr>
        <w:t xml:space="preserve"> dollars; </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sidRPr="00AD49C2">
        <w:rPr>
          <w:rFonts w:eastAsia="Times New Roman" w:cs="Times New Roman"/>
          <w:szCs w:val="20"/>
          <w:u w:color="000000" w:themeColor="text1"/>
        </w:rPr>
        <w:tab/>
        <w:t>(2)</w:t>
      </w:r>
      <w:r w:rsidRPr="00AD49C2">
        <w:rPr>
          <w:rFonts w:eastAsia="Times New Roman" w:cs="Times New Roman"/>
          <w:szCs w:val="20"/>
          <w:u w:color="000000" w:themeColor="text1"/>
        </w:rPr>
        <w:tab/>
        <w:t xml:space="preserve">in actions for damages for injury to rights pertaining to the person or personal or real property, if the damages claimed do not exceed </w:t>
      </w:r>
      <w:r w:rsidRPr="00AD49C2">
        <w:rPr>
          <w:rFonts w:eastAsia="Times New Roman" w:cs="Times New Roman"/>
          <w:strike/>
          <w:szCs w:val="20"/>
          <w:u w:color="000000" w:themeColor="text1"/>
        </w:rPr>
        <w:t>seven thousand five hundred</w:t>
      </w:r>
      <w:r w:rsidRPr="00AD49C2">
        <w:rPr>
          <w:rFonts w:eastAsia="Times New Roman" w:cs="Times New Roman"/>
          <w:szCs w:val="20"/>
          <w:u w:color="000000" w:themeColor="text1"/>
        </w:rPr>
        <w:t xml:space="preserve"> </w:t>
      </w:r>
      <w:r w:rsidRPr="00AD49C2">
        <w:rPr>
          <w:rFonts w:eastAsia="Times New Roman" w:cs="Times New Roman"/>
          <w:szCs w:val="20"/>
          <w:u w:val="single" w:color="000000" w:themeColor="text1"/>
        </w:rPr>
        <w:t>ten thousand</w:t>
      </w:r>
      <w:r w:rsidRPr="00AD49C2">
        <w:rPr>
          <w:rFonts w:eastAsia="Times New Roman" w:cs="Times New Roman"/>
          <w:szCs w:val="20"/>
          <w:u w:color="000000" w:themeColor="text1"/>
        </w:rPr>
        <w:t xml:space="preserve"> dollars; </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sidRPr="00AD49C2">
        <w:rPr>
          <w:rFonts w:eastAsia="Times New Roman" w:cs="Times New Roman"/>
          <w:szCs w:val="20"/>
          <w:u w:color="000000" w:themeColor="text1"/>
        </w:rPr>
        <w:lastRenderedPageBreak/>
        <w:tab/>
        <w:t>(3)</w:t>
      </w:r>
      <w:r w:rsidRPr="00AD49C2">
        <w:rPr>
          <w:rFonts w:eastAsia="Times New Roman" w:cs="Times New Roman"/>
          <w:szCs w:val="20"/>
          <w:u w:color="000000" w:themeColor="text1"/>
        </w:rPr>
        <w:tab/>
        <w:t xml:space="preserve">in actions for a penalty, fine, or forfeiture, when the amount claimed or forfeited does not exceed </w:t>
      </w:r>
      <w:r w:rsidRPr="00AD49C2">
        <w:rPr>
          <w:rFonts w:eastAsia="Times New Roman" w:cs="Times New Roman"/>
          <w:strike/>
          <w:szCs w:val="20"/>
          <w:u w:color="000000" w:themeColor="text1"/>
        </w:rPr>
        <w:t>seven thousand five hundred</w:t>
      </w:r>
      <w:r w:rsidRPr="00AD49C2">
        <w:rPr>
          <w:rFonts w:eastAsia="Times New Roman" w:cs="Times New Roman"/>
          <w:szCs w:val="20"/>
          <w:u w:color="000000" w:themeColor="text1"/>
        </w:rPr>
        <w:t xml:space="preserve"> </w:t>
      </w:r>
      <w:r w:rsidRPr="00AD49C2">
        <w:rPr>
          <w:rFonts w:eastAsia="Times New Roman" w:cs="Times New Roman"/>
          <w:szCs w:val="20"/>
          <w:u w:val="single" w:color="000000" w:themeColor="text1"/>
        </w:rPr>
        <w:t>ten thousand</w:t>
      </w:r>
      <w:r w:rsidRPr="00AD49C2">
        <w:rPr>
          <w:rFonts w:eastAsia="Times New Roman" w:cs="Times New Roman"/>
          <w:szCs w:val="20"/>
          <w:u w:color="000000" w:themeColor="text1"/>
        </w:rPr>
        <w:t xml:space="preserve"> dollars; </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sidRPr="00AD49C2">
        <w:rPr>
          <w:rFonts w:eastAsia="Times New Roman" w:cs="Times New Roman"/>
          <w:szCs w:val="20"/>
          <w:u w:color="000000" w:themeColor="text1"/>
        </w:rPr>
        <w:tab/>
        <w:t>(4)</w:t>
      </w:r>
      <w:r w:rsidRPr="00AD49C2">
        <w:rPr>
          <w:rFonts w:eastAsia="Times New Roman" w:cs="Times New Roman"/>
          <w:szCs w:val="20"/>
          <w:u w:color="000000" w:themeColor="text1"/>
        </w:rPr>
        <w:tab/>
        <w:t xml:space="preserve">in actions commenced by attachment of property, as provided by statute, if the debt or damages claimed do not exceed </w:t>
      </w:r>
      <w:r w:rsidRPr="00AD49C2">
        <w:rPr>
          <w:rFonts w:eastAsia="Times New Roman" w:cs="Times New Roman"/>
          <w:strike/>
          <w:szCs w:val="20"/>
          <w:u w:color="000000" w:themeColor="text1"/>
        </w:rPr>
        <w:t>seven thousand five hundred</w:t>
      </w:r>
      <w:r w:rsidRPr="00AD49C2">
        <w:rPr>
          <w:rFonts w:eastAsia="Times New Roman" w:cs="Times New Roman"/>
          <w:szCs w:val="20"/>
          <w:u w:color="000000" w:themeColor="text1"/>
        </w:rPr>
        <w:t xml:space="preserve"> </w:t>
      </w:r>
      <w:r w:rsidRPr="00AD49C2">
        <w:rPr>
          <w:rFonts w:eastAsia="Times New Roman" w:cs="Times New Roman"/>
          <w:szCs w:val="20"/>
          <w:u w:val="single" w:color="000000" w:themeColor="text1"/>
        </w:rPr>
        <w:t>ten thousand</w:t>
      </w:r>
      <w:r w:rsidRPr="00AD49C2">
        <w:rPr>
          <w:rFonts w:eastAsia="Times New Roman" w:cs="Times New Roman"/>
          <w:szCs w:val="20"/>
          <w:u w:color="000000" w:themeColor="text1"/>
        </w:rPr>
        <w:t xml:space="preserve"> dollars; </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sidRPr="00AD49C2">
        <w:rPr>
          <w:rFonts w:eastAsia="Times New Roman" w:cs="Times New Roman"/>
          <w:szCs w:val="20"/>
          <w:u w:color="000000" w:themeColor="text1"/>
        </w:rPr>
        <w:tab/>
        <w:t>(5)</w:t>
      </w:r>
      <w:r w:rsidRPr="00AD49C2">
        <w:rPr>
          <w:rFonts w:eastAsia="Times New Roman" w:cs="Times New Roman"/>
          <w:szCs w:val="20"/>
          <w:u w:color="000000" w:themeColor="text1"/>
        </w:rPr>
        <w:tab/>
        <w:t xml:space="preserve">in actions upon a bond conditioned for the payment of money, not exceeding </w:t>
      </w:r>
      <w:r w:rsidRPr="00AD49C2">
        <w:rPr>
          <w:rFonts w:eastAsia="Times New Roman" w:cs="Times New Roman"/>
          <w:strike/>
          <w:szCs w:val="20"/>
          <w:u w:color="000000" w:themeColor="text1"/>
        </w:rPr>
        <w:t>seven thousand five hundred</w:t>
      </w:r>
      <w:r w:rsidRPr="00AD49C2">
        <w:rPr>
          <w:rFonts w:eastAsia="Times New Roman" w:cs="Times New Roman"/>
          <w:szCs w:val="20"/>
          <w:u w:color="000000" w:themeColor="text1"/>
        </w:rPr>
        <w:t xml:space="preserve"> </w:t>
      </w:r>
      <w:r w:rsidRPr="00AD49C2">
        <w:rPr>
          <w:rFonts w:eastAsia="Times New Roman" w:cs="Times New Roman"/>
          <w:szCs w:val="20"/>
          <w:u w:val="single" w:color="000000" w:themeColor="text1"/>
        </w:rPr>
        <w:t>ten thousand</w:t>
      </w:r>
      <w:r w:rsidRPr="00AD49C2">
        <w:rPr>
          <w:rFonts w:eastAsia="Times New Roman" w:cs="Times New Roman"/>
          <w:szCs w:val="20"/>
          <w:u w:color="000000" w:themeColor="text1"/>
        </w:rPr>
        <w:t xml:space="preserve"> dollars, though the penalty exceeds that sum, the judgment to be given for the sum actually due, and when the payments are to be made by installments</w:t>
      </w:r>
      <w:r w:rsidR="000B0F97">
        <w:rPr>
          <w:rFonts w:eastAsia="Times New Roman" w:cs="Times New Roman"/>
          <w:szCs w:val="20"/>
          <w:u w:color="000000" w:themeColor="text1"/>
        </w:rPr>
        <w:t>,</w:t>
      </w:r>
      <w:r w:rsidRPr="00AD49C2">
        <w:rPr>
          <w:rFonts w:eastAsia="Times New Roman" w:cs="Times New Roman"/>
          <w:szCs w:val="20"/>
          <w:u w:color="000000" w:themeColor="text1"/>
        </w:rPr>
        <w:t xml:space="preserve"> an action may be brought for each installment as it becomes due; </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sidRPr="00AD49C2">
        <w:rPr>
          <w:rFonts w:eastAsia="Times New Roman" w:cs="Times New Roman"/>
          <w:szCs w:val="20"/>
          <w:u w:color="000000" w:themeColor="text1"/>
        </w:rPr>
        <w:tab/>
        <w:t>(6)</w:t>
      </w:r>
      <w:r w:rsidRPr="00AD49C2">
        <w:rPr>
          <w:rFonts w:eastAsia="Times New Roman" w:cs="Times New Roman"/>
          <w:szCs w:val="20"/>
          <w:u w:color="000000" w:themeColor="text1"/>
        </w:rPr>
        <w:tab/>
        <w:t>in any action u</w:t>
      </w:r>
      <w:r w:rsidR="000B0F97">
        <w:rPr>
          <w:rFonts w:eastAsia="Times New Roman" w:cs="Times New Roman"/>
          <w:szCs w:val="20"/>
          <w:u w:color="000000" w:themeColor="text1"/>
        </w:rPr>
        <w:t>pon a surety bond taken by them</w:t>
      </w:r>
      <w:r w:rsidRPr="00AD49C2">
        <w:rPr>
          <w:rFonts w:eastAsia="Times New Roman" w:cs="Times New Roman"/>
          <w:szCs w:val="20"/>
          <w:u w:color="000000" w:themeColor="text1"/>
        </w:rPr>
        <w:t xml:space="preserve"> when the penalty or amount claimed does not exceed </w:t>
      </w:r>
      <w:r w:rsidRPr="00AD49C2">
        <w:rPr>
          <w:rFonts w:eastAsia="Times New Roman" w:cs="Times New Roman"/>
          <w:strike/>
          <w:szCs w:val="20"/>
          <w:u w:color="000000" w:themeColor="text1"/>
        </w:rPr>
        <w:t>seven thousand five hundred</w:t>
      </w:r>
      <w:r w:rsidRPr="00AD49C2">
        <w:rPr>
          <w:rFonts w:eastAsia="Times New Roman" w:cs="Times New Roman"/>
          <w:szCs w:val="20"/>
          <w:u w:color="000000" w:themeColor="text1"/>
        </w:rPr>
        <w:t xml:space="preserve"> </w:t>
      </w:r>
      <w:r w:rsidRPr="00AD49C2">
        <w:rPr>
          <w:rFonts w:eastAsia="Times New Roman" w:cs="Times New Roman"/>
          <w:szCs w:val="20"/>
          <w:u w:val="single" w:color="000000" w:themeColor="text1"/>
        </w:rPr>
        <w:t>ten thousand</w:t>
      </w:r>
      <w:r w:rsidRPr="00AD49C2">
        <w:rPr>
          <w:rFonts w:eastAsia="Times New Roman" w:cs="Times New Roman"/>
          <w:szCs w:val="20"/>
          <w:u w:color="000000" w:themeColor="text1"/>
        </w:rPr>
        <w:t xml:space="preserve"> dollars; </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sidRPr="00AD49C2">
        <w:rPr>
          <w:rFonts w:eastAsia="Times New Roman" w:cs="Times New Roman"/>
          <w:szCs w:val="20"/>
          <w:u w:color="000000" w:themeColor="text1"/>
        </w:rPr>
        <w:tab/>
        <w:t>(7)</w:t>
      </w:r>
      <w:r w:rsidRPr="00AD49C2">
        <w:rPr>
          <w:rFonts w:eastAsia="Times New Roman" w:cs="Times New Roman"/>
          <w:szCs w:val="20"/>
          <w:u w:color="000000" w:themeColor="text1"/>
        </w:rPr>
        <w:tab/>
        <w:t xml:space="preserve">in any action upon a judgment rendered in a court of a magistrate or an inferior court when it is not prohibited by the South Carolina Rules of Civil Procedure; </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sidRPr="00AD49C2">
        <w:rPr>
          <w:rFonts w:eastAsia="Times New Roman" w:cs="Times New Roman"/>
          <w:szCs w:val="20"/>
          <w:u w:color="000000" w:themeColor="text1"/>
        </w:rPr>
        <w:tab/>
        <w:t>(8)</w:t>
      </w:r>
      <w:r w:rsidRPr="00AD49C2">
        <w:rPr>
          <w:rFonts w:eastAsia="Times New Roman" w:cs="Times New Roman"/>
          <w:szCs w:val="20"/>
          <w:u w:color="000000" w:themeColor="text1"/>
        </w:rPr>
        <w:tab/>
        <w:t xml:space="preserve">to take and enter judgment on the confession of a defendant in the manner prescribed by law when the amount confessed does not exceed </w:t>
      </w:r>
      <w:r w:rsidRPr="00AD49C2">
        <w:rPr>
          <w:rFonts w:eastAsia="Times New Roman" w:cs="Times New Roman"/>
          <w:strike/>
          <w:szCs w:val="20"/>
          <w:u w:color="000000" w:themeColor="text1"/>
        </w:rPr>
        <w:t>seven thousand five hundred</w:t>
      </w:r>
      <w:r w:rsidRPr="00AD49C2">
        <w:rPr>
          <w:rFonts w:eastAsia="Times New Roman" w:cs="Times New Roman"/>
          <w:szCs w:val="20"/>
          <w:u w:color="000000" w:themeColor="text1"/>
        </w:rPr>
        <w:t xml:space="preserve"> </w:t>
      </w:r>
      <w:r w:rsidRPr="00AD49C2">
        <w:rPr>
          <w:rFonts w:eastAsia="Times New Roman" w:cs="Times New Roman"/>
          <w:szCs w:val="20"/>
          <w:u w:val="single" w:color="000000" w:themeColor="text1"/>
        </w:rPr>
        <w:t>ten thousand</w:t>
      </w:r>
      <w:r w:rsidRPr="00AD49C2">
        <w:rPr>
          <w:rFonts w:eastAsia="Times New Roman" w:cs="Times New Roman"/>
          <w:szCs w:val="20"/>
          <w:u w:color="000000" w:themeColor="text1"/>
        </w:rPr>
        <w:t xml:space="preserve"> dollars; </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sidRPr="00AD49C2">
        <w:rPr>
          <w:rFonts w:eastAsia="Times New Roman" w:cs="Times New Roman"/>
          <w:szCs w:val="20"/>
          <w:u w:color="000000" w:themeColor="text1"/>
        </w:rPr>
        <w:tab/>
        <w:t>(9)</w:t>
      </w:r>
      <w:r w:rsidRPr="00AD49C2">
        <w:rPr>
          <w:rFonts w:eastAsia="Times New Roman" w:cs="Times New Roman"/>
          <w:szCs w:val="20"/>
          <w:u w:color="000000" w:themeColor="text1"/>
        </w:rPr>
        <w:tab/>
        <w:t xml:space="preserve">in any action for damages or for fraud in the sale, purchase, or exchange of personal property, if the damages claimed do not exceed </w:t>
      </w:r>
      <w:r w:rsidRPr="00AD49C2">
        <w:rPr>
          <w:rFonts w:eastAsia="Times New Roman" w:cs="Times New Roman"/>
          <w:strike/>
          <w:szCs w:val="20"/>
          <w:u w:color="000000" w:themeColor="text1"/>
        </w:rPr>
        <w:t>seven thousand five hundred</w:t>
      </w:r>
      <w:r w:rsidRPr="00AD49C2">
        <w:rPr>
          <w:rFonts w:eastAsia="Times New Roman" w:cs="Times New Roman"/>
          <w:szCs w:val="20"/>
          <w:u w:color="000000" w:themeColor="text1"/>
        </w:rPr>
        <w:t xml:space="preserve"> </w:t>
      </w:r>
      <w:r w:rsidRPr="00AD49C2">
        <w:rPr>
          <w:rFonts w:eastAsia="Times New Roman" w:cs="Times New Roman"/>
          <w:szCs w:val="20"/>
          <w:u w:val="single" w:color="000000" w:themeColor="text1"/>
        </w:rPr>
        <w:t>ten thousand</w:t>
      </w:r>
      <w:r w:rsidRPr="00AD49C2">
        <w:rPr>
          <w:rFonts w:eastAsia="Times New Roman" w:cs="Times New Roman"/>
          <w:szCs w:val="20"/>
          <w:u w:color="000000" w:themeColor="text1"/>
        </w:rPr>
        <w:t xml:space="preserve"> dollars; </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sidRPr="00AD49C2">
        <w:rPr>
          <w:rFonts w:eastAsia="Times New Roman" w:cs="Times New Roman"/>
          <w:szCs w:val="20"/>
          <w:u w:color="000000" w:themeColor="text1"/>
        </w:rPr>
        <w:tab/>
        <w:t>(10)</w:t>
      </w:r>
      <w:r w:rsidRPr="00AD49C2">
        <w:rPr>
          <w:rFonts w:eastAsia="Times New Roman" w:cs="Times New Roman"/>
          <w:szCs w:val="20"/>
          <w:u w:color="000000" w:themeColor="text1"/>
        </w:rPr>
        <w:tab/>
        <w:t xml:space="preserve">in all matters between landlord and tenant and the possession of land as provided in Chapters 33 through 41 of Title 27; </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sidRPr="00AD49C2">
        <w:rPr>
          <w:rFonts w:eastAsia="Times New Roman" w:cs="Times New Roman"/>
          <w:szCs w:val="20"/>
          <w:u w:color="000000" w:themeColor="text1"/>
        </w:rPr>
        <w:tab/>
        <w:t>(11)</w:t>
      </w:r>
      <w:r w:rsidRPr="00AD49C2">
        <w:rPr>
          <w:rFonts w:eastAsia="Times New Roman" w:cs="Times New Roman"/>
          <w:szCs w:val="20"/>
          <w:u w:color="000000" w:themeColor="text1"/>
        </w:rPr>
        <w:tab/>
        <w:t xml:space="preserve">in any action to recover the possession of personal property claimed, the value of which, as stated in the affidavit of the plaintiff, his agent, or attorney, does not exceed the sum of </w:t>
      </w:r>
      <w:r w:rsidRPr="00AD49C2">
        <w:rPr>
          <w:rFonts w:eastAsia="Times New Roman" w:cs="Times New Roman"/>
          <w:strike/>
          <w:szCs w:val="20"/>
          <w:u w:color="000000" w:themeColor="text1"/>
        </w:rPr>
        <w:t>seven thousand five hundred</w:t>
      </w:r>
      <w:r w:rsidRPr="00AD49C2">
        <w:rPr>
          <w:rFonts w:eastAsia="Times New Roman" w:cs="Times New Roman"/>
          <w:szCs w:val="20"/>
          <w:u w:color="000000" w:themeColor="text1"/>
        </w:rPr>
        <w:t xml:space="preserve"> </w:t>
      </w:r>
      <w:r w:rsidRPr="00AD49C2">
        <w:rPr>
          <w:rFonts w:eastAsia="Times New Roman" w:cs="Times New Roman"/>
          <w:szCs w:val="20"/>
          <w:u w:val="single" w:color="000000" w:themeColor="text1"/>
        </w:rPr>
        <w:t>ten thousand</w:t>
      </w:r>
      <w:r w:rsidRPr="00AD49C2">
        <w:rPr>
          <w:rFonts w:eastAsia="Times New Roman" w:cs="Times New Roman"/>
          <w:szCs w:val="20"/>
          <w:u w:color="000000" w:themeColor="text1"/>
        </w:rPr>
        <w:t xml:space="preserve"> dollars; </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sidRPr="00AD49C2">
        <w:rPr>
          <w:rFonts w:eastAsia="Times New Roman" w:cs="Times New Roman"/>
          <w:szCs w:val="20"/>
          <w:u w:color="000000" w:themeColor="text1"/>
        </w:rPr>
        <w:tab/>
        <w:t>(12)</w:t>
      </w:r>
      <w:r w:rsidRPr="00AD49C2">
        <w:rPr>
          <w:rFonts w:eastAsia="Times New Roman" w:cs="Times New Roman"/>
          <w:szCs w:val="20"/>
          <w:u w:color="000000" w:themeColor="text1"/>
        </w:rPr>
        <w:tab/>
        <w:t xml:space="preserve">in all actions provided for in this section when a filed counterclaim involves a sum not to exceed </w:t>
      </w:r>
      <w:r w:rsidRPr="00AD49C2">
        <w:rPr>
          <w:rFonts w:eastAsia="Times New Roman" w:cs="Times New Roman"/>
          <w:strike/>
          <w:szCs w:val="20"/>
          <w:u w:color="000000" w:themeColor="text1"/>
        </w:rPr>
        <w:t>seven thousand five hundred</w:t>
      </w:r>
      <w:r w:rsidRPr="00AD49C2">
        <w:rPr>
          <w:rFonts w:eastAsia="Times New Roman" w:cs="Times New Roman"/>
          <w:szCs w:val="20"/>
          <w:u w:color="000000" w:themeColor="text1"/>
        </w:rPr>
        <w:t xml:space="preserve"> </w:t>
      </w:r>
      <w:r w:rsidRPr="00AD49C2">
        <w:rPr>
          <w:rFonts w:eastAsia="Times New Roman" w:cs="Times New Roman"/>
          <w:szCs w:val="20"/>
          <w:u w:val="single" w:color="000000" w:themeColor="text1"/>
        </w:rPr>
        <w:t>ten thousand</w:t>
      </w:r>
      <w:r w:rsidRPr="00AD49C2">
        <w:rPr>
          <w:rFonts w:eastAsia="Times New Roman" w:cs="Times New Roman"/>
          <w:szCs w:val="20"/>
          <w:u w:color="000000" w:themeColor="text1"/>
        </w:rPr>
        <w:t xml:space="preserve"> dollars, except that this limitation does not apply to counterclaims filed in matters between landlord and tenant and the possession of land; </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sidRPr="00AD49C2">
        <w:rPr>
          <w:rFonts w:eastAsia="Times New Roman" w:cs="Times New Roman"/>
          <w:szCs w:val="20"/>
          <w:u w:color="000000" w:themeColor="text1"/>
        </w:rPr>
        <w:tab/>
        <w:t>(13)</w:t>
      </w:r>
      <w:r w:rsidRPr="00AD49C2">
        <w:rPr>
          <w:rFonts w:eastAsia="Times New Roman" w:cs="Times New Roman"/>
          <w:szCs w:val="20"/>
          <w:u w:color="000000" w:themeColor="text1"/>
        </w:rPr>
        <w:tab/>
        <w:t xml:space="preserve">in interpleader actions arising from real estate contracts for the recovery of earnest money, only if the sum claimed does not exceed </w:t>
      </w:r>
      <w:r w:rsidRPr="00AD49C2">
        <w:rPr>
          <w:rFonts w:eastAsia="Times New Roman" w:cs="Times New Roman"/>
          <w:strike/>
          <w:szCs w:val="20"/>
          <w:u w:color="000000" w:themeColor="text1"/>
        </w:rPr>
        <w:t>seven thousand five hundred</w:t>
      </w:r>
      <w:r w:rsidRPr="00AD49C2">
        <w:rPr>
          <w:rFonts w:eastAsia="Times New Roman" w:cs="Times New Roman"/>
          <w:szCs w:val="20"/>
          <w:u w:color="000000" w:themeColor="text1"/>
        </w:rPr>
        <w:t xml:space="preserve"> </w:t>
      </w:r>
      <w:r w:rsidRPr="00AD49C2">
        <w:rPr>
          <w:rFonts w:eastAsia="Times New Roman" w:cs="Times New Roman"/>
          <w:szCs w:val="20"/>
          <w:u w:val="single" w:color="000000" w:themeColor="text1"/>
        </w:rPr>
        <w:t>ten thousand</w:t>
      </w:r>
      <w:r w:rsidRPr="00AD49C2">
        <w:rPr>
          <w:rFonts w:eastAsia="Times New Roman" w:cs="Times New Roman"/>
          <w:szCs w:val="20"/>
          <w:u w:color="000000" w:themeColor="text1"/>
        </w:rPr>
        <w:t xml:space="preserve"> dollars; and</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color="000000" w:themeColor="text1"/>
        </w:rPr>
      </w:pPr>
      <w:r w:rsidRPr="00AD49C2">
        <w:rPr>
          <w:rFonts w:eastAsia="Times New Roman" w:cs="Times New Roman"/>
          <w:szCs w:val="20"/>
          <w:u w:color="000000" w:themeColor="text1"/>
        </w:rPr>
        <w:tab/>
        <w:t>(14)</w:t>
      </w:r>
      <w:r w:rsidRPr="00AD49C2">
        <w:rPr>
          <w:rFonts w:eastAsia="Times New Roman" w:cs="Times New Roman"/>
          <w:szCs w:val="20"/>
          <w:u w:color="000000" w:themeColor="text1"/>
        </w:rPr>
        <w:tab/>
        <w:t>in actions for damages arising from a person’s failure to return leased or rented personal property within seventy</w:t>
      </w:r>
      <w:r w:rsidRPr="00AD49C2">
        <w:rPr>
          <w:rFonts w:eastAsia="Times New Roman" w:cs="Times New Roman"/>
          <w:szCs w:val="20"/>
          <w:u w:color="000000" w:themeColor="text1"/>
        </w:rPr>
        <w:noBreakHyphen/>
        <w:t xml:space="preserve">two hours after the expiration of the lease or rental agreement, such damages to be based on the loss of revenue or replacement value of the </w:t>
      </w:r>
      <w:r w:rsidRPr="00AD49C2">
        <w:rPr>
          <w:rFonts w:eastAsia="Times New Roman" w:cs="Times New Roman"/>
          <w:szCs w:val="20"/>
          <w:u w:color="000000" w:themeColor="text1"/>
        </w:rPr>
        <w:lastRenderedPageBreak/>
        <w:t xml:space="preserve">property, whichever is less, if the damages claimed do not exceed </w:t>
      </w:r>
      <w:r w:rsidRPr="00AD49C2">
        <w:rPr>
          <w:rFonts w:eastAsia="Times New Roman" w:cs="Times New Roman"/>
          <w:strike/>
          <w:szCs w:val="20"/>
          <w:u w:color="000000" w:themeColor="text1"/>
        </w:rPr>
        <w:t>seven thousand five hundred</w:t>
      </w:r>
      <w:r w:rsidRPr="00AD49C2">
        <w:rPr>
          <w:rFonts w:eastAsia="Times New Roman" w:cs="Times New Roman"/>
          <w:szCs w:val="20"/>
          <w:u w:color="000000" w:themeColor="text1"/>
        </w:rPr>
        <w:t xml:space="preserve"> </w:t>
      </w:r>
      <w:r w:rsidRPr="00AD49C2">
        <w:rPr>
          <w:rFonts w:eastAsia="Times New Roman" w:cs="Times New Roman"/>
          <w:szCs w:val="20"/>
          <w:u w:val="single" w:color="000000" w:themeColor="text1"/>
        </w:rPr>
        <w:t>ten thousand</w:t>
      </w:r>
      <w:r w:rsidRPr="00AD49C2">
        <w:rPr>
          <w:rFonts w:eastAsia="Times New Roman" w:cs="Times New Roman"/>
          <w:szCs w:val="20"/>
          <w:u w:color="000000" w:themeColor="text1"/>
        </w:rPr>
        <w:t xml:space="preserve"> dollars; however, the lease or rental agreement must set forth the manner in which the amount of the loss of revenue or replacement value of the item leased or rented is calculated.”</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sidRPr="00AD49C2">
        <w:rPr>
          <w:rFonts w:eastAsia="Times New Roman" w:cs="Times New Roman"/>
        </w:rPr>
        <w:t>SECTION</w:t>
      </w:r>
      <w:r w:rsidRPr="00AD49C2">
        <w:rPr>
          <w:rFonts w:eastAsia="Times New Roman" w:cs="Times New Roman"/>
        </w:rPr>
        <w:tab/>
        <w:t>2.</w:t>
      </w:r>
      <w:r w:rsidRPr="00AD49C2">
        <w:rPr>
          <w:rFonts w:eastAsia="Times New Roman" w:cs="Times New Roman"/>
        </w:rPr>
        <w:tab/>
      </w:r>
      <w:r w:rsidRPr="00AD49C2">
        <w:rPr>
          <w:rFonts w:cs="Times New Roman"/>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sidRPr="00AD49C2">
        <w:rPr>
          <w:rFonts w:eastAsia="Times New Roman" w:cs="Times New Roman"/>
        </w:rPr>
        <w:t>SECTION</w:t>
      </w:r>
      <w:r w:rsidRPr="00AD49C2">
        <w:rPr>
          <w:rFonts w:eastAsia="Times New Roman" w:cs="Times New Roman"/>
        </w:rPr>
        <w:tab/>
        <w:t>3.</w:t>
      </w:r>
      <w:r w:rsidRPr="00AD49C2">
        <w:rPr>
          <w:rFonts w:eastAsia="Times New Roman" w:cs="Times New Roman"/>
        </w:rPr>
        <w:tab/>
        <w:t>This act takes effect upon approval by the Governor.</w:t>
      </w:r>
      <w:r w:rsidRPr="00AD49C2">
        <w:rPr>
          <w:rFonts w:eastAsia="Times New Roman" w:cs="Times New Roman"/>
        </w:rPr>
        <w:tab/>
        <w:t>/</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AD49C2">
        <w:rPr>
          <w:rFonts w:eastAsia="Times New Roman" w:cs="Times New Roman"/>
          <w:snapToGrid w:val="0"/>
          <w:szCs w:val="20"/>
        </w:rPr>
        <w:tab/>
        <w:t>Renumber sections to conform.</w:t>
      </w:r>
    </w:p>
    <w:p w:rsidR="00A15566"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AD49C2">
        <w:rPr>
          <w:rFonts w:eastAsia="Times New Roman" w:cs="Times New Roman"/>
          <w:snapToGrid w:val="0"/>
          <w:szCs w:val="20"/>
        </w:rPr>
        <w:tab/>
        <w:t>Amend title to conform.</w:t>
      </w:r>
    </w:p>
    <w:p w:rsidR="00A15566" w:rsidRPr="00AD49C2"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A15566"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GERALD MALLOY for Committee.</w:t>
      </w:r>
    </w:p>
    <w:p w:rsidR="00A15566" w:rsidRPr="00A15566"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A15566"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15566" w:rsidRPr="00A15566"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u w:val="single"/>
        </w:rPr>
        <w:t>STATEMENT OF ESTIMATED FISCAL IMPACT</w:t>
      </w:r>
    </w:p>
    <w:p w:rsidR="00A15566" w:rsidRPr="00874E89"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74E89">
        <w:t>ESTIMATED FISCAL IMPACT ON GENERAL FUND EXPENDITURES:</w:t>
      </w:r>
    </w:p>
    <w:p w:rsidR="00A15566" w:rsidRPr="00874E89"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874E89">
        <w:t>$0 (No additional expenditures or savings are expected)</w:t>
      </w:r>
    </w:p>
    <w:p w:rsidR="00A15566" w:rsidRPr="00874E89"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74E89">
        <w:t>ESTIMATED FISCAL IMPACT ON FEDERAL &amp; OTHER FUND EXPENDITURES:</w:t>
      </w:r>
    </w:p>
    <w:p w:rsidR="00A15566" w:rsidRPr="00874E89" w:rsidRDefault="00A15566" w:rsidP="00A15566">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874E89">
        <w:t>See Below</w:t>
      </w:r>
      <w:bookmarkStart w:id="2" w:name="c"/>
      <w:bookmarkEnd w:id="2"/>
    </w:p>
    <w:p w:rsidR="00A15566" w:rsidRPr="00874E89"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74E89">
        <w:rPr>
          <w:b/>
        </w:rPr>
        <w:t>EXPLANATION OF IMPACT:</w:t>
      </w:r>
      <w:bookmarkStart w:id="3" w:name="i"/>
      <w:bookmarkEnd w:id="3"/>
    </w:p>
    <w:p w:rsidR="00A15566" w:rsidRPr="00874E89" w:rsidRDefault="00A15566"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74E89">
        <w:t xml:space="preserve">The Judicial Department indicates this </w:t>
      </w:r>
      <w:r>
        <w:t>b</w:t>
      </w:r>
      <w:r w:rsidRPr="00874E89">
        <w:t xml:space="preserve">ill will have a negative impact on the agency’s other funds revenue collections.  The </w:t>
      </w:r>
      <w:r>
        <w:t>b</w:t>
      </w:r>
      <w:r w:rsidRPr="00874E89">
        <w:t xml:space="preserve">ill would move some civil proceedings that are currently being heard by the Circuit Court to the Magistrate Courts, thereby reducing filing fee revenue collected by the </w:t>
      </w:r>
      <w:r>
        <w:t>d</w:t>
      </w:r>
      <w:r w:rsidRPr="00874E89">
        <w:t xml:space="preserve">epartment.   The number of cases that would be moved to the Magistrate Courts and the impact on the </w:t>
      </w:r>
      <w:r>
        <w:t>d</w:t>
      </w:r>
      <w:r w:rsidRPr="00874E89">
        <w:t xml:space="preserve">epartments </w:t>
      </w:r>
      <w:r>
        <w:t>o</w:t>
      </w:r>
      <w:r w:rsidRPr="00874E89">
        <w:t>ther funds revenue</w:t>
      </w:r>
      <w:r>
        <w:t xml:space="preserve"> is not readily determinable.</w:t>
      </w:r>
    </w:p>
    <w:p w:rsidR="00A15566" w:rsidRPr="00874E89" w:rsidRDefault="00A15566" w:rsidP="00A155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74E89">
        <w:rPr>
          <w:b/>
        </w:rPr>
        <w:lastRenderedPageBreak/>
        <w:t>LOCAL GOVERNMENT IMPACT:</w:t>
      </w:r>
    </w:p>
    <w:p w:rsidR="00A15566" w:rsidRPr="00874E89" w:rsidRDefault="00A15566" w:rsidP="00A155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fist"/>
      <w:bookmarkEnd w:id="4"/>
      <w:r>
        <w:tab/>
      </w:r>
      <w:r w:rsidRPr="00874E89">
        <w:t>Responses from one county indicate enactment would increase Magistrate Court caseload.  Case load could increase by 50% or more which would likely require additional clerks.  Respondents indicated the additional revenue would likely not offse</w:t>
      </w:r>
      <w:r>
        <w:t>t the additional costs.</w:t>
      </w:r>
    </w:p>
    <w:p w:rsidR="00A15566"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15566" w:rsidRDefault="00A15566" w:rsidP="00A15566">
      <w:pPr>
        <w:tabs>
          <w:tab w:val="left" w:pos="3024"/>
        </w:tabs>
        <w:suppressAutoHyphens/>
        <w:rPr>
          <w:rFonts w:eastAsia="Times New Roman" w:cs="Times New Roman"/>
        </w:rPr>
      </w:pPr>
      <w:r>
        <w:rPr>
          <w:rFonts w:eastAsia="Times New Roman" w:cs="Times New Roman"/>
        </w:rPr>
        <w:tab/>
      </w:r>
      <w:r>
        <w:rPr>
          <w:rFonts w:eastAsia="Times New Roman" w:cs="Times New Roman"/>
          <w:i/>
        </w:rPr>
        <w:t>Approved By:</w:t>
      </w:r>
    </w:p>
    <w:p w:rsidR="00A15566" w:rsidRDefault="00A15566" w:rsidP="00A15566">
      <w:pPr>
        <w:tabs>
          <w:tab w:val="left" w:pos="3024"/>
        </w:tabs>
        <w:suppressAutoHyphens/>
        <w:rPr>
          <w:rFonts w:eastAsia="Times New Roman" w:cs="Times New Roman"/>
        </w:rPr>
      </w:pPr>
      <w:r>
        <w:rPr>
          <w:rFonts w:eastAsia="Times New Roman" w:cs="Times New Roman"/>
        </w:rPr>
        <w:tab/>
        <w:t>Harry Bell</w:t>
      </w:r>
    </w:p>
    <w:p w:rsidR="00A15566" w:rsidRPr="00A15566" w:rsidRDefault="00A15566" w:rsidP="00A15566">
      <w:pPr>
        <w:tabs>
          <w:tab w:val="left" w:pos="3024"/>
        </w:tabs>
        <w:suppressAutoHyphens/>
        <w:rPr>
          <w:rFonts w:eastAsia="Times New Roman" w:cs="Times New Roman"/>
        </w:rPr>
      </w:pPr>
      <w:r>
        <w:rPr>
          <w:rFonts w:eastAsia="Times New Roman" w:cs="Times New Roman"/>
        </w:rPr>
        <w:tab/>
        <w:t>Office of State Budget</w:t>
      </w:r>
    </w:p>
    <w:p w:rsidR="00A15566"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15566"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A15566" w:rsidSect="00A1556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447CA" w:rsidRDefault="0024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447CA" w:rsidRDefault="0024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447CA" w:rsidRDefault="0024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447CA" w:rsidRDefault="0024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447CA" w:rsidRDefault="0024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447CA" w:rsidRDefault="0024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447CA" w:rsidRDefault="0024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447CA" w:rsidRDefault="0024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447CA"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5" w:name="billhead"/>
      <w:bookmarkEnd w:id="5"/>
      <w:r>
        <w:rPr>
          <w:rFonts w:eastAsia="Times New Roman" w:cs="Times New Roman"/>
          <w:b/>
          <w:sz w:val="30"/>
          <w:szCs w:val="30"/>
        </w:rPr>
        <w:t xml:space="preserve">A </w:t>
      </w:r>
      <w:bookmarkStart w:id="6" w:name="whattype"/>
      <w:bookmarkEnd w:id="6"/>
      <w:r>
        <w:rPr>
          <w:rFonts w:eastAsia="Times New Roman" w:cs="Times New Roman"/>
          <w:b/>
          <w:sz w:val="30"/>
          <w:szCs w:val="30"/>
        </w:rPr>
        <w:t>BILL</w:t>
      </w:r>
    </w:p>
    <w:p w:rsidR="002447CA" w:rsidRDefault="0024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447CA"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7" w:name="titletop"/>
      <w:bookmarkEnd w:id="7"/>
      <w:r>
        <w:rPr>
          <w:rFonts w:eastAsia="Times New Roman" w:cs="Times New Roman"/>
        </w:rPr>
        <w:t>TO AMEND SECTION 22</w:t>
      </w:r>
      <w:r>
        <w:rPr>
          <w:rFonts w:eastAsia="Times New Roman" w:cs="Times New Roman"/>
        </w:rPr>
        <w:noBreakHyphen/>
        <w:t>3</w:t>
      </w:r>
      <w:r>
        <w:rPr>
          <w:rFonts w:eastAsia="Times New Roman" w:cs="Times New Roman"/>
        </w:rPr>
        <w:noBreakHyphen/>
        <w:t>10 OF THE 1976 CODE, RELATING TO THE CIVIL JURISDICTION OF MAGISTRATES, TO INCREASE THE CIVIL JURISDICTION TO FIFTEEN THOUSAND DOLLARS.</w:t>
      </w:r>
    </w:p>
    <w:p w:rsidR="002447CA" w:rsidRDefault="0024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8" w:name="titleend"/>
      <w:bookmarkEnd w:id="8"/>
    </w:p>
    <w:p w:rsidR="002447CA"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2447CA" w:rsidRDefault="0024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447CA"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u w:color="000000" w:themeColor="text1"/>
        </w:rPr>
        <w:t>SECTION</w:t>
      </w:r>
      <w:r>
        <w:rPr>
          <w:rFonts w:eastAsia="Times New Roman" w:cs="Times New Roman"/>
          <w:color w:val="000000" w:themeColor="text1"/>
          <w:u w:color="000000" w:themeColor="text1"/>
        </w:rPr>
        <w:tab/>
        <w:t>1.</w:t>
      </w:r>
      <w:r>
        <w:rPr>
          <w:rFonts w:eastAsia="Times New Roman" w:cs="Times New Roman"/>
          <w:color w:val="000000" w:themeColor="text1"/>
          <w:u w:color="000000" w:themeColor="text1"/>
        </w:rPr>
        <w:tab/>
      </w:r>
      <w:r>
        <w:rPr>
          <w:rFonts w:eastAsia="Times New Roman" w:cs="Times New Roman"/>
          <w:color w:val="000000" w:themeColor="text1"/>
          <w:szCs w:val="20"/>
          <w:u w:color="000000" w:themeColor="text1"/>
        </w:rPr>
        <w:t>Section 22</w:t>
      </w:r>
      <w:r>
        <w:rPr>
          <w:rFonts w:eastAsia="Times New Roman" w:cs="Times New Roman"/>
          <w:color w:val="000000" w:themeColor="text1"/>
          <w:szCs w:val="20"/>
          <w:u w:color="000000" w:themeColor="text1"/>
        </w:rPr>
        <w:noBreakHyphen/>
        <w:t>3</w:t>
      </w:r>
      <w:r>
        <w:rPr>
          <w:rFonts w:eastAsia="Times New Roman" w:cs="Times New Roman"/>
          <w:color w:val="000000" w:themeColor="text1"/>
          <w:szCs w:val="20"/>
          <w:u w:color="000000" w:themeColor="text1"/>
        </w:rPr>
        <w:noBreakHyphen/>
        <w:t>10 of the 1976 Code is amended to read:</w:t>
      </w:r>
    </w:p>
    <w:p w:rsidR="002447CA" w:rsidRDefault="0024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2447CA"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“S</w:t>
      </w:r>
      <w:r>
        <w:rPr>
          <w:rFonts w:eastAsia="Times New Roman" w:cs="Times New Roman"/>
          <w:bCs/>
          <w:color w:val="000000" w:themeColor="text1"/>
          <w:szCs w:val="20"/>
          <w:u w:color="000000" w:themeColor="text1"/>
        </w:rPr>
        <w:t>ection 22</w:t>
      </w:r>
      <w:r>
        <w:rPr>
          <w:rFonts w:eastAsia="Times New Roman" w:cs="Times New Roman"/>
          <w:bCs/>
          <w:color w:val="000000" w:themeColor="text1"/>
          <w:szCs w:val="20"/>
          <w:u w:color="000000" w:themeColor="text1"/>
        </w:rPr>
        <w:noBreakHyphen/>
        <w:t>3</w:t>
      </w:r>
      <w:r>
        <w:rPr>
          <w:rFonts w:eastAsia="Times New Roman" w:cs="Times New Roman"/>
          <w:bCs/>
          <w:color w:val="000000" w:themeColor="text1"/>
          <w:szCs w:val="20"/>
          <w:u w:color="000000" w:themeColor="text1"/>
        </w:rPr>
        <w:noBreakHyphen/>
        <w:t>10.</w:t>
      </w:r>
      <w:r>
        <w:rPr>
          <w:rFonts w:eastAsia="Times New Roman" w:cs="Times New Roman"/>
          <w:bCs/>
          <w:color w:val="000000" w:themeColor="text1"/>
          <w:szCs w:val="20"/>
          <w:u w:color="000000" w:themeColor="text1"/>
        </w:rPr>
        <w:tab/>
      </w:r>
      <w:r>
        <w:rPr>
          <w:rFonts w:eastAsia="Times New Roman" w:cs="Times New Roman"/>
          <w:color w:val="000000" w:themeColor="text1"/>
          <w:szCs w:val="20"/>
          <w:u w:color="000000" w:themeColor="text1"/>
        </w:rPr>
        <w:t xml:space="preserve">Magistrates have concurrent civil jurisdiction in the following cases: </w:t>
      </w:r>
    </w:p>
    <w:p w:rsidR="002447CA"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(1)</w:t>
      </w:r>
      <w:r>
        <w:rPr>
          <w:rFonts w:eastAsia="Times New Roman" w:cs="Times New Roman"/>
          <w:color w:val="000000" w:themeColor="text1"/>
          <w:szCs w:val="20"/>
          <w:u w:color="000000" w:themeColor="text1"/>
        </w:rPr>
        <w:tab/>
        <w:t xml:space="preserve">in actions arising on contracts for the recovery of money only, if the sum claimed does not exceed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w:t>
      </w:r>
    </w:p>
    <w:p w:rsidR="002447CA"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(2)</w:t>
      </w:r>
      <w:r>
        <w:rPr>
          <w:rFonts w:eastAsia="Times New Roman" w:cs="Times New Roman"/>
          <w:color w:val="000000" w:themeColor="text1"/>
          <w:szCs w:val="20"/>
          <w:u w:color="000000" w:themeColor="text1"/>
        </w:rPr>
        <w:tab/>
        <w:t xml:space="preserve">in actions for damages for injury to rights pertaining to the person or personal or real property, if the damages claimed do not exceed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w:t>
      </w:r>
    </w:p>
    <w:p w:rsidR="002447CA"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(3)</w:t>
      </w:r>
      <w:r>
        <w:rPr>
          <w:rFonts w:eastAsia="Times New Roman" w:cs="Times New Roman"/>
          <w:color w:val="000000" w:themeColor="text1"/>
          <w:szCs w:val="20"/>
          <w:u w:color="000000" w:themeColor="text1"/>
        </w:rPr>
        <w:tab/>
        <w:t xml:space="preserve">in actions for a penalty, fine, or forfeiture, when the amount claimed or forfeited does not exceed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w:t>
      </w:r>
    </w:p>
    <w:p w:rsidR="002447CA"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(4)</w:t>
      </w:r>
      <w:r>
        <w:rPr>
          <w:rFonts w:eastAsia="Times New Roman" w:cs="Times New Roman"/>
          <w:color w:val="000000" w:themeColor="text1"/>
          <w:szCs w:val="20"/>
          <w:u w:color="000000" w:themeColor="text1"/>
        </w:rPr>
        <w:tab/>
        <w:t xml:space="preserve">in actions commenced by attachment of property, as provided by statute, if the debt or damages claimed do not exceed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w:t>
      </w:r>
    </w:p>
    <w:p w:rsidR="002447CA"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(5)</w:t>
      </w:r>
      <w:r>
        <w:rPr>
          <w:rFonts w:eastAsia="Times New Roman" w:cs="Times New Roman"/>
          <w:color w:val="000000" w:themeColor="text1"/>
          <w:szCs w:val="20"/>
          <w:u w:color="000000" w:themeColor="text1"/>
        </w:rPr>
        <w:tab/>
        <w:t xml:space="preserve">in actions upon a bond conditioned for the payment of money, not exceeding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though the penalty exceeds that sum, the judgment to be given for the sum actually due, and when the payments are to be made by installments an action may be brought for each installment as it becomes due; </w:t>
      </w:r>
    </w:p>
    <w:p w:rsidR="002447CA"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lastRenderedPageBreak/>
        <w:tab/>
        <w:t>(6)</w:t>
      </w:r>
      <w:r>
        <w:rPr>
          <w:rFonts w:eastAsia="Times New Roman" w:cs="Times New Roman"/>
          <w:color w:val="000000" w:themeColor="text1"/>
          <w:szCs w:val="20"/>
          <w:u w:color="000000" w:themeColor="text1"/>
        </w:rPr>
        <w:tab/>
        <w:t xml:space="preserve">in any action upon a surety bond taken by them, when the penalty or amount claimed does not exceed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w:t>
      </w:r>
    </w:p>
    <w:p w:rsidR="002447CA"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(7)</w:t>
      </w:r>
      <w:r>
        <w:rPr>
          <w:rFonts w:eastAsia="Times New Roman" w:cs="Times New Roman"/>
          <w:color w:val="000000" w:themeColor="text1"/>
          <w:szCs w:val="20"/>
          <w:u w:color="000000" w:themeColor="text1"/>
        </w:rPr>
        <w:tab/>
        <w:t xml:space="preserve">in any action upon a judgment rendered in a court of a magistrate or an inferior court when it is not prohibited by the South Carolina Rules of Civil Procedure; </w:t>
      </w:r>
    </w:p>
    <w:p w:rsidR="002447CA"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(8)</w:t>
      </w:r>
      <w:r>
        <w:rPr>
          <w:rFonts w:eastAsia="Times New Roman" w:cs="Times New Roman"/>
          <w:color w:val="000000" w:themeColor="text1"/>
          <w:szCs w:val="20"/>
          <w:u w:color="000000" w:themeColor="text1"/>
        </w:rPr>
        <w:tab/>
        <w:t xml:space="preserve">to take and enter judgment on the confession of a defendant in the manner prescribed by law when the amount confessed does not exceed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w:t>
      </w:r>
    </w:p>
    <w:p w:rsidR="002447CA"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(9)</w:t>
      </w:r>
      <w:r>
        <w:rPr>
          <w:rFonts w:eastAsia="Times New Roman" w:cs="Times New Roman"/>
          <w:color w:val="000000" w:themeColor="text1"/>
          <w:szCs w:val="20"/>
          <w:u w:color="000000" w:themeColor="text1"/>
        </w:rPr>
        <w:tab/>
        <w:t xml:space="preserve">in any action for damages or for fraud in the sale, purchase, or exchange of personal property, if the damages claimed do not exceed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w:t>
      </w:r>
    </w:p>
    <w:p w:rsidR="002447CA"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(10)</w:t>
      </w:r>
      <w:r>
        <w:rPr>
          <w:rFonts w:eastAsia="Times New Roman" w:cs="Times New Roman"/>
          <w:color w:val="000000" w:themeColor="text1"/>
          <w:szCs w:val="20"/>
          <w:u w:color="000000" w:themeColor="text1"/>
        </w:rPr>
        <w:tab/>
        <w:t xml:space="preserve">in all matters between landlord and tenant and the possession of land as provided in Chapters 33 through 41 of Title 27; </w:t>
      </w:r>
    </w:p>
    <w:p w:rsidR="002447CA"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(11)</w:t>
      </w:r>
      <w:r>
        <w:rPr>
          <w:rFonts w:eastAsia="Times New Roman" w:cs="Times New Roman"/>
          <w:color w:val="000000" w:themeColor="text1"/>
          <w:szCs w:val="20"/>
          <w:u w:color="000000" w:themeColor="text1"/>
        </w:rPr>
        <w:tab/>
        <w:t xml:space="preserve">in any action to recover the possession of personal property claimed, the value of which, as stated in the affidavit of the plaintiff, his agent, or attorney, does not exceed the sum of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w:t>
      </w:r>
    </w:p>
    <w:p w:rsidR="002447CA"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(12)</w:t>
      </w:r>
      <w:r>
        <w:rPr>
          <w:rFonts w:eastAsia="Times New Roman" w:cs="Times New Roman"/>
          <w:color w:val="000000" w:themeColor="text1"/>
          <w:szCs w:val="20"/>
          <w:u w:color="000000" w:themeColor="text1"/>
        </w:rPr>
        <w:tab/>
        <w:t xml:space="preserve">in all actions provided for in this section when a filed counterclaim involves a sum not to exceed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except that this limitation does not apply to counterclaims filed in matters between landlord and tenant and the possession of land; </w:t>
      </w:r>
    </w:p>
    <w:p w:rsidR="002447CA"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(13)</w:t>
      </w:r>
      <w:r>
        <w:rPr>
          <w:rFonts w:eastAsia="Times New Roman" w:cs="Times New Roman"/>
          <w:color w:val="000000" w:themeColor="text1"/>
          <w:szCs w:val="20"/>
          <w:u w:color="000000" w:themeColor="text1"/>
        </w:rPr>
        <w:tab/>
        <w:t xml:space="preserve">in interpleader actions arising from real estate contracts for the recovery of earnest money, only if the sum claimed does not exceed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and</w:t>
      </w:r>
    </w:p>
    <w:p w:rsidR="002447CA"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szCs w:val="20"/>
          <w:u w:color="000000" w:themeColor="text1"/>
        </w:rPr>
        <w:tab/>
        <w:t>(14)</w:t>
      </w:r>
      <w:r>
        <w:rPr>
          <w:rFonts w:eastAsia="Times New Roman" w:cs="Times New Roman"/>
          <w:color w:val="000000" w:themeColor="text1"/>
          <w:szCs w:val="20"/>
          <w:u w:color="000000" w:themeColor="text1"/>
        </w:rPr>
        <w:tab/>
        <w:t>in actions for damages arising from a person’s failure to return leased or rented personal property within seventy</w:t>
      </w:r>
      <w:r>
        <w:rPr>
          <w:rFonts w:eastAsia="Times New Roman" w:cs="Times New Roman"/>
          <w:color w:val="000000" w:themeColor="text1"/>
          <w:szCs w:val="20"/>
          <w:u w:color="000000" w:themeColor="text1"/>
        </w:rPr>
        <w:noBreakHyphen/>
        <w:t xml:space="preserve">two hours after the expiration of the lease or rental agreement, such damages to be based on the loss of revenue or replacement value of the property, whichever is less, if the damages claimed do not exceed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however, the lease or rental agreement must set forth the manner in which the amount of the loss of revenue or replacement value of the item leased or rented is calculated.”</w:t>
      </w:r>
    </w:p>
    <w:p w:rsidR="002447CA" w:rsidRDefault="00244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447CA" w:rsidRDefault="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2447CA" w:rsidRDefault="00A15566" w:rsidP="00797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2447CA" w:rsidSect="00A1556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47CA" w:rsidRDefault="002447CA" w:rsidP="002447CA">
      <w:r>
        <w:separator/>
      </w:r>
    </w:p>
  </w:endnote>
  <w:endnote w:type="continuationSeparator" w:id="0">
    <w:p w:rsidR="002447CA" w:rsidRDefault="002447CA" w:rsidP="002447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F46043-736B-4284-8B60-B7657141F448}"/>
    <w:embedBold r:id="rId2" w:fontKey="{F9D76E09-C525-43F9-B1F7-581383A9A16B}"/>
    <w:embedItalic r:id="rId3" w:fontKey="{AF79AF3D-347F-40BD-A878-BD6A9160A7B0}"/>
  </w:font>
  <w:font w:name="Calibri">
    <w:panose1 w:val="020F0502020204030204"/>
    <w:charset w:val="00"/>
    <w:family w:val="swiss"/>
    <w:pitch w:val="variable"/>
    <w:sig w:usb0="A00002EF" w:usb1="4000207B" w:usb2="00000000" w:usb3="00000000" w:csb0="0000009F" w:csb1="00000000"/>
    <w:embedRegular r:id="rId4" w:fontKey="{1AEB963C-99BF-492A-AE0E-ED58B71BA79E}"/>
    <w:embedBold r:id="rId5" w:fontKey="{C084C392-0641-4416-B264-B1B0F660B6BF}"/>
  </w:font>
  <w:font w:name="Tahoma">
    <w:panose1 w:val="020B0604030504040204"/>
    <w:charset w:val="00"/>
    <w:family w:val="swiss"/>
    <w:pitch w:val="variable"/>
    <w:sig w:usb0="61002A87" w:usb1="80000000" w:usb2="00000008" w:usb3="00000000" w:csb0="000101FF" w:csb1="00000000"/>
    <w:embedRegular r:id="rId6" w:fontKey="{76AD5F67-87E0-48FC-976B-22DEB08C27FE}"/>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6E992AA9-25A2-4D14-9206-7BF234C66E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7CA" w:rsidRDefault="00A15566">
    <w:pPr>
      <w:pStyle w:val="Footer"/>
      <w:tabs>
        <w:tab w:val="clear" w:pos="4680"/>
        <w:tab w:val="clear" w:pos="9360"/>
        <w:tab w:val="center" w:pos="2995"/>
      </w:tabs>
      <w:spacing w:before="120"/>
    </w:pPr>
    <w:r>
      <w:t>[285-</w:t>
    </w:r>
    <w:fldSimple w:instr=" PAGE  \* MERGEFORMAT ">
      <w:r w:rsidR="00797474">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566" w:rsidRDefault="00A15566">
    <w:pPr>
      <w:pStyle w:val="Footer"/>
      <w:tabs>
        <w:tab w:val="clear" w:pos="4680"/>
        <w:tab w:val="clear" w:pos="9360"/>
        <w:tab w:val="center" w:pos="2995"/>
      </w:tabs>
      <w:spacing w:before="120"/>
    </w:pPr>
    <w:r>
      <w:t>[285]</w:t>
    </w:r>
    <w:r>
      <w:tab/>
    </w:r>
    <w:fldSimple w:instr=" PAGE  \* MERGEFORMAT ">
      <w:r w:rsidR="0079747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47CA" w:rsidRDefault="002447CA" w:rsidP="002447CA">
      <w:r>
        <w:separator/>
      </w:r>
    </w:p>
  </w:footnote>
  <w:footnote w:type="continuationSeparator" w:id="0">
    <w:p w:rsidR="002447CA" w:rsidRDefault="002447CA" w:rsidP="002447C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2447CA"/>
    <w:rsid w:val="000B0F97"/>
    <w:rsid w:val="00164D6F"/>
    <w:rsid w:val="002447CA"/>
    <w:rsid w:val="005322C9"/>
    <w:rsid w:val="00797474"/>
    <w:rsid w:val="0088296F"/>
    <w:rsid w:val="00A155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2447C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447CA"/>
    <w:rPr>
      <w:szCs w:val="21"/>
    </w:rPr>
  </w:style>
  <w:style w:type="character" w:customStyle="1" w:styleId="PlainTextChar">
    <w:name w:val="Plain Text Char"/>
    <w:basedOn w:val="DefaultParagraphFont"/>
    <w:link w:val="PlainText"/>
    <w:uiPriority w:val="99"/>
    <w:rsid w:val="002447CA"/>
    <w:rPr>
      <w:szCs w:val="21"/>
    </w:rPr>
  </w:style>
  <w:style w:type="paragraph" w:styleId="BodyText">
    <w:name w:val="Body Text"/>
    <w:basedOn w:val="Normal"/>
    <w:link w:val="BodyTextChar"/>
    <w:uiPriority w:val="99"/>
    <w:locked/>
    <w:rsid w:val="002447CA"/>
  </w:style>
  <w:style w:type="character" w:customStyle="1" w:styleId="BodyTextChar">
    <w:name w:val="Body Text Char"/>
    <w:basedOn w:val="DefaultParagraphFont"/>
    <w:link w:val="BodyText"/>
    <w:uiPriority w:val="99"/>
    <w:rsid w:val="002447CA"/>
  </w:style>
  <w:style w:type="paragraph" w:styleId="BalloonText">
    <w:name w:val="Balloon Text"/>
    <w:next w:val="Normal"/>
    <w:link w:val="BalloonTextChar"/>
    <w:uiPriority w:val="99"/>
    <w:unhideWhenUsed/>
    <w:rsid w:val="002447CA"/>
    <w:rPr>
      <w:rFonts w:cs="Tahoma"/>
      <w:szCs w:val="16"/>
    </w:rPr>
  </w:style>
  <w:style w:type="character" w:customStyle="1" w:styleId="BalloonTextChar">
    <w:name w:val="Balloon Text Char"/>
    <w:basedOn w:val="DefaultParagraphFont"/>
    <w:link w:val="BalloonText"/>
    <w:uiPriority w:val="99"/>
    <w:rsid w:val="002447CA"/>
    <w:rPr>
      <w:rFonts w:cs="Tahoma"/>
      <w:szCs w:val="16"/>
    </w:rPr>
  </w:style>
  <w:style w:type="paragraph" w:styleId="NormalWeb">
    <w:name w:val="Normal (Web)"/>
    <w:basedOn w:val="Normal"/>
    <w:next w:val="Normal"/>
    <w:semiHidden/>
    <w:locked/>
    <w:rsid w:val="002447CA"/>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2447CA"/>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2447CA"/>
    <w:rPr>
      <w:rFonts w:cs="Times New Roman"/>
    </w:rPr>
  </w:style>
  <w:style w:type="character" w:styleId="LineNumber">
    <w:name w:val="line number"/>
    <w:basedOn w:val="DefaultParagraphFont"/>
    <w:uiPriority w:val="99"/>
    <w:semiHidden/>
    <w:unhideWhenUsed/>
    <w:locked/>
    <w:rsid w:val="00A15566"/>
  </w:style>
  <w:style w:type="paragraph" w:styleId="Header">
    <w:name w:val="header"/>
    <w:basedOn w:val="Normal"/>
    <w:link w:val="HeaderChar"/>
    <w:unhideWhenUsed/>
    <w:locked/>
    <w:rsid w:val="00A15566"/>
    <w:pPr>
      <w:tabs>
        <w:tab w:val="center" w:pos="4680"/>
        <w:tab w:val="right" w:pos="9360"/>
      </w:tabs>
    </w:pPr>
  </w:style>
  <w:style w:type="character" w:customStyle="1" w:styleId="HeaderChar">
    <w:name w:val="Header Char"/>
    <w:basedOn w:val="DefaultParagraphFont"/>
    <w:link w:val="Header"/>
    <w:rsid w:val="00A15566"/>
  </w:style>
  <w:style w:type="character" w:styleId="FollowedHyperlink">
    <w:name w:val="FollowedHyperlink"/>
    <w:basedOn w:val="DefaultParagraphFont"/>
    <w:uiPriority w:val="99"/>
    <w:semiHidden/>
    <w:unhideWhenUsed/>
    <w:locked/>
    <w:rsid w:val="00164D6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1480</Words>
  <Characters>8442</Characters>
  <Application>Microsoft Office Word</Application>
  <DocSecurity>0</DocSecurity>
  <Lines>70</Lines>
  <Paragraphs>19</Paragraphs>
  <ScaleCrop>false</ScaleCrop>
  <Company>Project Management</Company>
  <LinksUpToDate>false</LinksUpToDate>
  <CharactersWithSpaces>9903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AngelaHopkins</cp:lastModifiedBy>
  <cp:revision>2</cp:revision>
  <dcterms:created xsi:type="dcterms:W3CDTF">2010-04-06T20:31:00Z</dcterms:created>
  <dcterms:modified xsi:type="dcterms:W3CDTF">2010-04-06T20:31:00Z</dcterms:modified>
</cp:coreProperties>
</file>