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21</w:t>
      </w:r>
      <w:r>
        <w:noBreakHyphen/>
        <w:t>620, CODE OF LAWS OF SOUTH CAROLINA, 1976, RELATING TO THE LICENSE TAX ON TOBACCO PRODUCTS, SO AS TO INCREASE THE TAX ON CIGARETTES TO 1.85 CENTS A CIGARETTE, DEFINE “CIGARETTE”, PROVIDE THAT NOT LESS THAN FIFTEEN MILLION DOLLARS OF CIGARETTE LICENSE TAX REVENUES MUST BE APPROPRIATED ANNUALLY TO THE STATE BOARD FOR TECHNICAL AND COMPREHENSIVE EDUCATION FOR THE ALLIED HEALTHCARE INITIATIVE AND NOT LESS THAN TEN MILLION DOLLARS MUST BE APPROPRIATED TO THE COMMISSION ON HIGHER EDUCATION FOR THE CRITICAL NEEDS NURSING INITIATIVE FUND AND TO PROVIDE THAT THE BALANCE OF THE REVENUE MUST BE APPROPRIATED ANNUALLY TO THE NURSING EDUCATION SCHOLARSHIP FUND; AND BY ADDING SECTION 59</w:t>
      </w:r>
      <w:r>
        <w:noBreakHyphen/>
        <w:t>110</w:t>
      </w:r>
      <w:r>
        <w:noBreakHyphen/>
        <w:t>35, SO AS TO ESTABLISH THE NURSING EDUCATION SCHOLARSHIP FUND (NESF) FOR THE PURPOSE OF PROVIDING SCHOLARSHIPS COVERING TUITION, FEES, AND BOOKS FOR INSTATE STUDENTS ENROLLED IN TWO YEAR AND FOUR YEAR NURSING PROGRAMS AT PUBLIC INSTITUTIONS OF HIGHER LEARNING IN THIS STATE, ESTABLISH THE ELIGIBILITY REQUIREMENTS FOR THIS SCHOLARSHIP.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21</w:t>
      </w:r>
      <w:r>
        <w:noBreakHyphen/>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12</w:t>
      </w:r>
      <w:r>
        <w:noBreakHyphen/>
        <w:t>21</w:t>
      </w:r>
      <w:r>
        <w:noBreakHyphen/>
        <w:t>620.</w:t>
      </w:r>
      <w:r>
        <w:tab/>
      </w:r>
      <w:r>
        <w:rPr>
          <w:u w:val="single"/>
        </w:rPr>
        <w:t>(A)</w:t>
      </w:r>
      <w:r>
        <w:tab/>
        <w:t xml:space="preserve">There </w:t>
      </w:r>
      <w:r>
        <w:rPr>
          <w:strike/>
        </w:rPr>
        <w:t>shall</w:t>
      </w:r>
      <w:r>
        <w:t xml:space="preserve"> </w:t>
      </w:r>
      <w:r>
        <w:rPr>
          <w:u w:val="single"/>
        </w:rPr>
        <w:t>must</w:t>
      </w:r>
      <w:r>
        <w:t xml:space="preserve"> be levied, assessed, collected, and paid in respect to the articles containing tobacco enumerated in this section the following amounts: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upon all cigarettes made of tobacco or any substitute for tobacco, </w:t>
      </w:r>
      <w:r>
        <w:rPr>
          <w:strike/>
        </w:rPr>
        <w:t>three and one</w:t>
      </w:r>
      <w:r>
        <w:rPr>
          <w:strike/>
        </w:rPr>
        <w:noBreakHyphen/>
        <w:t>half mills</w:t>
      </w:r>
      <w:r>
        <w:t xml:space="preserve"> </w:t>
      </w:r>
      <w:r>
        <w:rPr>
          <w:u w:val="single"/>
        </w:rPr>
        <w:t>1.85 cents</w:t>
      </w:r>
      <w:r>
        <w:t xml:space="preserve"> on each cigarette; </w:t>
      </w:r>
    </w:p>
    <w:p>
      <w:pPr>
        <w:pStyle w:val="BillDots"/>
      </w:pPr>
      <w:r>
        <w:tab/>
      </w:r>
      <w:r>
        <w:tab/>
        <w:t>(2)</w:t>
      </w:r>
      <w:r>
        <w:tab/>
        <w:t>upon all tobacco products, as defined in Section 12</w:t>
      </w:r>
      <w:r>
        <w:noBreakHyphen/>
        <w:t>21</w:t>
      </w:r>
      <w:r>
        <w:noBreakHyphen/>
        <w:t>800, five per</w:t>
      </w:r>
      <w:bookmarkStart w:id="4" w:name="billstart"/>
      <w:bookmarkEnd w:id="4"/>
      <w:r>
        <w:t xml:space="preserve">cent of the manufacturer’s price.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Manufacturer’s price as used in this section is the established price at which a manufacturer sells to a wholesaler.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u w:val="single"/>
        </w:rPr>
        <w:t>(B)</w:t>
      </w:r>
      <w:r>
        <w:tab/>
      </w:r>
      <w:r>
        <w:rPr>
          <w:szCs w:val="16"/>
          <w:u w:val="single"/>
        </w:rPr>
        <w:t>As used in this section, ‘</w:t>
      </w:r>
      <w:r>
        <w:rPr>
          <w:szCs w:val="22"/>
          <w:u w:val="single"/>
        </w:rPr>
        <w:t>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szCs w:val="22"/>
        </w:rPr>
        <w:tab/>
      </w:r>
      <w:r>
        <w:rPr>
          <w:szCs w:val="22"/>
        </w:rPr>
        <w:tab/>
      </w:r>
      <w:r>
        <w:rPr>
          <w:szCs w:val="22"/>
          <w:u w:val="single"/>
        </w:rPr>
        <w:t>(1)</w:t>
      </w:r>
      <w:r>
        <w:rPr>
          <w:szCs w:val="22"/>
        </w:rPr>
        <w:tab/>
      </w:r>
      <w:r>
        <w:rPr>
          <w:rStyle w:val="ptext-2"/>
          <w:u w:val="single"/>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u w:val="single"/>
        </w:rPr>
      </w:pPr>
      <w:r>
        <w:rPr>
          <w:rStyle w:val="ptext-2"/>
        </w:rPr>
        <w:tab/>
      </w:r>
      <w:r>
        <w:rPr>
          <w:rStyle w:val="ptext-2"/>
        </w:rPr>
        <w:tab/>
      </w:r>
      <w:r>
        <w:rPr>
          <w:rStyle w:val="ptext-2"/>
          <w:u w:val="single"/>
        </w:rPr>
        <w:t>(2)</w:t>
      </w:r>
      <w:r>
        <w:rPr>
          <w:rStyle w:val="ptext-2"/>
        </w:rPr>
        <w:tab/>
      </w:r>
      <w:r>
        <w:rPr>
          <w:u w:val="single"/>
        </w:rPr>
        <w:t>any roll for smoking containing tobacco, wrapped in any substance, weighing three pounds per thousand or less</w:t>
      </w:r>
      <w:r>
        <w:rPr>
          <w:rStyle w:val="ptext-2"/>
          <w:u w:val="single"/>
        </w:rPr>
        <w:t>, however labeled or named, which because of its appearance, size, type of tobacco used in the filler, or its packaging, pricing, marketing, or labeling, is likely to be offered to, or purchased by, consumers as a cigarette described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u w:val="single"/>
        </w:rPr>
      </w:pPr>
      <w:r>
        <w:rPr>
          <w:rStyle w:val="ptext-2"/>
        </w:rPr>
        <w:tab/>
      </w:r>
      <w:r>
        <w:rPr>
          <w:rStyle w:val="ptext-2"/>
          <w:u w:val="single"/>
        </w:rPr>
        <w:t>(C)</w:t>
      </w:r>
      <w:r>
        <w:rPr>
          <w:rStyle w:val="ptext-2"/>
        </w:rPr>
        <w:tab/>
      </w:r>
      <w:r>
        <w:rPr>
          <w:rStyle w:val="ptext-2"/>
          <w:u w:val="single"/>
        </w:rPr>
        <w:t>Notwithstanding another provision of law providing for the crediting of the revenues of the license tax imposed pursuant to subsection (A)(1) of this section, the revenues of the tax imposed pursuant to subsection (A)(1) must be credited to the general fund of this State and appropriated therefrom in the annual general appropriations act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u w:val="single"/>
        </w:rPr>
      </w:pPr>
      <w:r>
        <w:rPr>
          <w:rStyle w:val="ptext-2"/>
        </w:rPr>
        <w:tab/>
      </w:r>
      <w:r>
        <w:rPr>
          <w:rStyle w:val="ptext-2"/>
        </w:rPr>
        <w:tab/>
      </w:r>
      <w:r>
        <w:rPr>
          <w:rStyle w:val="ptext-2"/>
          <w:u w:val="single"/>
        </w:rPr>
        <w:t>(1)</w:t>
      </w:r>
      <w:r>
        <w:rPr>
          <w:rStyle w:val="ptext-2"/>
        </w:rPr>
        <w:tab/>
      </w:r>
      <w:r>
        <w:rPr>
          <w:rStyle w:val="ptext-2"/>
          <w:u w:val="single"/>
        </w:rPr>
        <w:t>not less than fifteen million dollars to the State Board for Technical and Comprehensive Education for the Allied Healthcare Initiative;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u w:val="single"/>
        </w:rPr>
      </w:pPr>
      <w:r>
        <w:rPr>
          <w:rStyle w:val="ptext-2"/>
        </w:rPr>
        <w:tab/>
      </w:r>
      <w:r>
        <w:rPr>
          <w:rStyle w:val="ptext-2"/>
        </w:rPr>
        <w:tab/>
      </w:r>
      <w:r>
        <w:rPr>
          <w:rStyle w:val="ptext-2"/>
          <w:u w:val="single"/>
        </w:rPr>
        <w:t>(2)</w:t>
      </w:r>
      <w:r>
        <w:rPr>
          <w:rStyle w:val="ptext-2"/>
        </w:rPr>
        <w:tab/>
      </w:r>
      <w:r>
        <w:rPr>
          <w:rStyle w:val="ptext-2"/>
          <w:u w:val="single"/>
        </w:rPr>
        <w:t>not less than ten million dollars to the Commission on Higher Education for the Critical Needs Nursing Initiative Fund established pursuant to Chapter 110 of Title 59;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rStyle w:val="ptext-2"/>
        </w:rPr>
        <w:tab/>
      </w:r>
      <w:r>
        <w:rPr>
          <w:rStyle w:val="ptext-2"/>
        </w:rPr>
        <w:tab/>
      </w:r>
      <w:r>
        <w:rPr>
          <w:rStyle w:val="ptext-2"/>
          <w:u w:val="single"/>
        </w:rPr>
        <w:t>(3)</w:t>
      </w:r>
      <w:r>
        <w:rPr>
          <w:rStyle w:val="ptext-2"/>
        </w:rPr>
        <w:tab/>
      </w:r>
      <w:r>
        <w:rPr>
          <w:rStyle w:val="ptext-2"/>
          <w:u w:val="single"/>
        </w:rPr>
        <w:t>the balance to the Nursing Education Scholarship Fund established pursuant to Section 59</w:t>
      </w:r>
      <w:r>
        <w:rPr>
          <w:rStyle w:val="ptext-2"/>
          <w:u w:val="single"/>
        </w:rPr>
        <w:noBreakHyphen/>
        <w:t>110</w:t>
      </w:r>
      <w:r>
        <w:rPr>
          <w:rStyle w:val="ptext-2"/>
          <w:u w:val="single"/>
        </w:rPr>
        <w:noBreakHyphen/>
        <w:t>35.</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Chapter 110, Title 59 of the 1976 Code, as added by  Act 49 of 2007,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59</w:t>
      </w:r>
      <w:r>
        <w:rPr>
          <w:szCs w:val="22"/>
        </w:rPr>
        <w:noBreakHyphen/>
        <w:t>110</w:t>
      </w:r>
      <w:r>
        <w:rPr>
          <w:szCs w:val="22"/>
        </w:rPr>
        <w:noBreakHyphen/>
        <w:t>35.</w:t>
      </w:r>
      <w:r>
        <w:rPr>
          <w:szCs w:val="22"/>
        </w:rPr>
        <w:tab/>
        <w:t>(A)</w:t>
      </w:r>
      <w:r>
        <w:rPr>
          <w:szCs w:val="22"/>
        </w:rPr>
        <w:tab/>
        <w:t>There is established the Nursing Education Scholarship Fund (NESF) under the administration of the Commission on Higher Education.  There must be appropriated annually to the NESF revenues of the cigarette tax as provided pursuant to Section 12</w:t>
      </w:r>
      <w:r>
        <w:rPr>
          <w:szCs w:val="22"/>
        </w:rPr>
        <w:noBreakHyphen/>
        <w:t>21</w:t>
      </w:r>
      <w:r>
        <w:rPr>
          <w:szCs w:val="22"/>
        </w:rPr>
        <w:noBreakHyphen/>
        <w:t>620(C).  Earnings on the NESF are credited to it and any balance in the NESF at the end of a fiscal year is carried forward in it to the succeeding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lastRenderedPageBreak/>
        <w:tab/>
        <w:t>(B)</w:t>
      </w:r>
      <w:r>
        <w:rPr>
          <w:szCs w:val="22"/>
        </w:rPr>
        <w:tab/>
        <w:t>Revenues in the NESF must be used to provide scholarships equal to the expenses of tuition, fees, books, and materials for qualified in</w:t>
      </w:r>
      <w:r>
        <w:rPr>
          <w:szCs w:val="22"/>
        </w:rPr>
        <w:noBreakHyphen/>
        <w:t xml:space="preserve">state residents enrolled in a program of study leading to an associate degree in nursing or bachelor of science degree in nursing at a public institution of higher learning in South Carolina as provided in subsection (C)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t>(1)</w:t>
      </w:r>
      <w:r>
        <w:tab/>
        <w:t>Beginning with school year 2009</w:t>
      </w:r>
      <w:r>
        <w:noBreakHyphen/>
        <w:t>2010, the annual amount of the nursing education scholarship for eligible resident students enrolled in a program of study leading to an associate degree in nursing or a bachelor of science degree in nursing is a sum equal to the expenses of tuition for thirty credit hours, fees, books, and materials.  The nursing education scholarship, in combination with all other aid, including federal, state, private, and institutional funds, must not exceed the total cost of attendance, excluding costs for room and board, for any academic year.  The nursing education scholarship must be awarded only after all other sources of aid have been exhausted.  Adjustments to the financial aid package must be made to reflect other sources of aid and to prevent an 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be eligible to receive a nursing education scholarship, a student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student who graduated from a South Carolina high school, a </w:t>
      </w:r>
      <w:r>
        <w:rPr>
          <w:color w:val="000000"/>
        </w:rPr>
        <w:t xml:space="preserve">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(b)</w:t>
      </w:r>
      <w:r>
        <w:rPr>
          <w:color w:val="000000"/>
        </w:rPr>
        <w:tab/>
        <w:t>accepted to and enrolled in a South Carolina two</w:t>
      </w:r>
      <w:r>
        <w:rPr>
          <w:color w:val="000000"/>
        </w:rPr>
        <w:noBreakHyphen/>
        <w:t>year or four</w:t>
      </w:r>
      <w:r>
        <w:rPr>
          <w:color w:val="000000"/>
        </w:rPr>
        <w:noBreakHyphen/>
        <w:t>year institution to pursue a degree in nursing;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rPr>
        <w:tab/>
      </w:r>
      <w:r>
        <w:rPr>
          <w:color w:val="000000"/>
        </w:rPr>
        <w:tab/>
      </w:r>
      <w:r>
        <w:rPr>
          <w:color w:val="000000"/>
        </w:rPr>
        <w:tab/>
        <w:t>(c)</w:t>
      </w:r>
      <w:r>
        <w:rPr>
          <w:color w:val="000000"/>
        </w:rPr>
        <w:tab/>
        <w:t>eligible for in</w:t>
      </w:r>
      <w:r>
        <w:rPr>
          <w:color w:val="000000"/>
        </w:rPr>
        <w:noBreakHyphen/>
        <w:t>state tuition and fees as determined pursuant to Chapter 112, Title 59 and applicable regulations.</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2"/>
        </w:rPr>
        <w:t>SECTION</w:t>
      </w:r>
      <w:r>
        <w:rPr>
          <w:szCs w:val="22"/>
        </w:rPr>
        <w:tab/>
        <w:t>3.</w:t>
      </w:r>
      <w:r>
        <w:rPr>
          <w:szCs w:val="22"/>
        </w:rPr>
        <w:tab/>
      </w:r>
      <w:r>
        <w:t xml:space="preserve">In April, May, and June of 2009, neither a wholesaler, distributor, or a retailer of cigarettes may purchase more cigarettes in any one month in an amount that exceeds one hundred ten percent of the average monthly amount of cigarettes purchased in the same three months of the previous calendar year.  In examining aggregate business license tax revenue data, if the Department of Revenue determines that the revenue collected in </w:t>
      </w:r>
      <w:r>
        <w:lastRenderedPageBreak/>
        <w:t>April, May, and June of 2009 exceeds one hundred ten percent of the amount collected during the same three months of the previous calendar year, the business license tax audit division of the department shall conduct an audit of random wholesalers, distributors, and retailers to ensure compliance with the requirements of this section.  Any violation of this section shall result in a civil penalty equal to five times the amount of tax owed on the purchased cigarettes that caused the wholesaler, distributor, or retailer to exceed one hundred ten percent of the amount purchased in the same three months of the previous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A43E1A-0154-4910-8643-4C25284EBDB1}"/>
    <w:embedBold r:id="rId2" w:fontKey="{6C1C895A-0942-4CB5-804D-EAEC553AC392}"/>
  </w:font>
  <w:font w:name="Calibri">
    <w:panose1 w:val="020F0502020204030204"/>
    <w:charset w:val="00"/>
    <w:family w:val="swiss"/>
    <w:pitch w:val="variable"/>
    <w:sig w:usb0="A00002EF" w:usb1="4000207B" w:usb2="00000000" w:usb3="00000000" w:csb0="0000009F" w:csb1="00000000"/>
    <w:embedRegular r:id="rId3" w:fontKey="{494E9ECF-3CE6-45DF-8AAF-CD2679F2CF4B}"/>
  </w:font>
  <w:font w:name="Cambria">
    <w:panose1 w:val="02040503050406030204"/>
    <w:charset w:val="00"/>
    <w:family w:val="roman"/>
    <w:pitch w:val="variable"/>
    <w:sig w:usb0="A00002EF" w:usb1="4000004B" w:usb2="00000000" w:usb3="00000000" w:csb0="0000009F" w:csb1="00000000"/>
    <w:embedRegular r:id="rId4" w:fontKey="{65F3D5F1-4DCC-4644-A697-039C2C9E5F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48HTC09"/>
    <w:docVar w:name="CoverBillType" w:val="b"/>
    <w:docVar w:name="docpath" w:val="L:\Council\bills\BBM\9048HTC09.DOCX"/>
    <w:docVar w:name="dvBillNumber" w:val="301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customStyle="1" w:styleId="ptext-2">
    <w:name w:val="ptext-2"/>
    <w:basedOn w:val="DefaultParagraphFont"/>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1027</Words>
  <Characters>5857</Characters>
  <Application>Microsoft Office Word</Application>
  <DocSecurity>0</DocSecurity>
  <Lines>48</Lines>
  <Paragraphs>13</Paragraphs>
  <ScaleCrop>false</ScaleCrop>
  <Company> </Company>
  <LinksUpToDate>false</LinksUpToDate>
  <CharactersWithSpaces>6871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2008-12-04T14:27:00Z</cp:lastPrinted>
  <dcterms:created xsi:type="dcterms:W3CDTF">2008-12-09T21:47:00Z</dcterms:created>
  <dcterms:modified xsi:type="dcterms:W3CDTF">2008-12-09T21:47:00Z</dcterms:modified>
</cp:coreProperties>
</file>