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16</w:t>
      </w:r>
      <w:r>
        <w:noBreakHyphen/>
        <w:t>17</w:t>
      </w:r>
      <w:r>
        <w:noBreakHyphen/>
        <w:t>325 SO AS TO PROHIBIT A PERSON FROM KNOWINGLY AND INTENTIONALLY REPRESENTING HIMSELF OR AN ENTITY FROM BEING KNOWINGLY AND INTENTIONALLY REPRESENTED AS BELONGING TO OR BEING A STATE RECOGNIZED TRIBE, GROUP, OR SPECIAL INTEREST ORGANIZATION IF THE PERSON WAS NOT A MEMBER OF A STATE RECOGNIZED TRIBE, GROUP, OR SPECIAL ORGANIZATION OR THE ENTITY HAD NOT RECEIVED STATE RECOGNITION BY THE STATE COMMISSION FOR MINORITY AFFAIRS PURSUANT TO ITS AUTHORITY IN SECTION 1</w:t>
      </w:r>
      <w:r>
        <w:noBreakHyphen/>
        <w:t>31</w:t>
      </w:r>
      <w:r>
        <w:noBreakHyphen/>
        <w:t>40.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5, Chapter 17, Title 16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16</w:t>
      </w:r>
      <w:r>
        <w:noBreakHyphen/>
        <w:t>17</w:t>
      </w:r>
      <w:r>
        <w:noBreakHyphen/>
        <w:t>325.</w:t>
      </w:r>
      <w:r>
        <w:tab/>
        <w:t>(A)</w:t>
      </w:r>
      <w:r>
        <w:tab/>
        <w:t>As used in this section, the terms ‘state recognized’ or ‘state recognition’ mean that a tribe, group, or special interest organization has complied with the regulatory requirements and been conferred status as a state recognized tribe, group, or special interest organization by the State Commission for Minority Affairs pursuant to its authority in Section 1</w:t>
      </w:r>
      <w:r>
        <w:noBreakHyphen/>
        <w:t>31</w:t>
      </w:r>
      <w:r>
        <w:noBreakHyphen/>
        <w:t>40(A)(10).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(B)(1)</w:t>
      </w:r>
      <w:r>
        <w:tab/>
        <w:t>A person must not knowingly and intentionally represent himself, either orally or in writing, as being a member of a state recognized tribe, group, or special interest organization unless he is a member of a tribe, group, or special interest organization that has received state recognition by the State Commission for Minority Affairs pursuant to its authority in Section 1</w:t>
      </w:r>
      <w:r>
        <w:noBreakHyphen/>
        <w:t>31</w:t>
      </w:r>
      <w:r>
        <w:noBreakHyphen/>
        <w:t>40(A)(10).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  <w:t>(2)</w:t>
      </w:r>
      <w:r>
        <w:tab/>
        <w:t>An entity must not be knowingly and intentionally represented, either orally or in writing, as being a state recognized tribe, group, or special interest organization unless the entity is a tribe or group that has received state recognition by the State Commission for Minority Affairs pursuant to its authority in Section 1</w:t>
      </w:r>
      <w:r>
        <w:noBreakHyphen/>
        <w:t>31</w:t>
      </w:r>
      <w:r>
        <w:noBreakHyphen/>
        <w:t>40(A)(10).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  <w:t>This subsection prohibits a person or entity from knowingly and intentionally misrepresenting his or its specific status as belonging to or being a state recognized tribe, group, or special interest organization as well as prohibiting a person or entity that is not a state recognized tribe, group, or special interest organization from knowingly and intentionally representing that he belongs to or the entity is a state recognized tribe, group, or special interest organization.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  <w:t>A filing with the Office of the Secretary of State, without state recognition being conferred by the State Commission for Minority Affairs pursuant to its authority in Section 1</w:t>
      </w:r>
      <w:r>
        <w:noBreakHyphen/>
        <w:t>31</w:t>
      </w:r>
      <w:r>
        <w:noBreakHyphen/>
        <w:t>40(A)(10), does not constitute the state recognition required to satisfy subsection (A) of this section.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Any person or entity that violates the provisions of subsection (B) is guilty of a misdemeanor and, upon conviction, must be fined up to five hundred dollars for each violation.”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E9A359-9A9A-4B81-B185-F48CA9D4B3B3}"/>
    <w:embedBold r:id="rId2" w:fontKey="{4A2B895E-C66C-415A-B136-DE0A4391DE0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DD21707-FE04-44E1-AF3B-4DC48EFEEE9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E8EED04-FBAA-43D1-B171-A4E802BC727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9275MM09"/>
    <w:docVar w:name="CoverBillType" w:val="b"/>
    <w:docVar w:name="docpath" w:val="L:\Council\bills\AGM\19275MM09.DOCX"/>
    <w:docVar w:name="dvBillNumber" w:val="3055"/>
    <w:docVar w:name="dvBillNumberPrefix" w:val="H. "/>
    <w:docVar w:name="dvOriginalBody" w:val="House"/>
    <w:docVar w:name="dvSteno" w:val="AGM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432</Words>
  <Characters>2466</Characters>
  <Application>Microsoft Office Word</Application>
  <DocSecurity>0</DocSecurity>
  <Lines>20</Lines>
  <Paragraphs>5</Paragraphs>
  <ScaleCrop>false</ScaleCrop>
  <Company> </Company>
  <LinksUpToDate>false</LinksUpToDate>
  <CharactersWithSpaces>2893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MORGAN</dc:creator>
  <cp:keywords/>
  <dc:description/>
  <cp:lastModifiedBy>NSC</cp:lastModifiedBy>
  <cp:revision>2</cp:revision>
  <dcterms:created xsi:type="dcterms:W3CDTF">2008-12-09T21:51:00Z</dcterms:created>
  <dcterms:modified xsi:type="dcterms:W3CDTF">2008-12-09T21:51:00Z</dcterms:modified>
</cp:coreProperties>
</file>