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3</w:t>
      </w:r>
      <w:r>
        <w:noBreakHyphen/>
        <w:t>370 SO AS TO PROVIDE THAT WHEN A MUNICIPALITY ANNEXES PROPERTY IN A COUNTY THAT HAS A LAND USE OR ZONING POLICY, PLAN, REGULATION, OR ORDINANCE AND THE MUNICIPALITY DENSITY ALLOWANCE OR REGULATIONS ALLOW FOR A GREATER DENSITY THAN THE COUNTY ALLOWS, THEN THE COUNTY DENSITY REQUIREMENT MUST REMAIN IN EFFECT FOR FIVE YEARS AFTER THE ANNEXATION.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370.</w:t>
      </w:r>
      <w:r>
        <w:tab/>
        <w:t>When a municipality annexes property in a county that has a land use or zoning policy, plan, regulation, or ordinance and the municipality density allowance or regulations allow for a greater density than the county allows, then the county density requirement must remain in effect for five years after the annexation.”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F9A990-E606-439B-8865-3EDC0B0E3FCC}"/>
    <w:embedBold r:id="rId2" w:fontKey="{FEBE276C-27A6-4109-BD35-4485F22738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926539-420C-431C-BB99-374BAF09D3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B5AD4AA-FB57-49C0-96F2-D52215CBAC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30DW09"/>
    <w:docVar w:name="CoverBillType" w:val="b"/>
    <w:docVar w:name="docpath" w:val="L:\Council\bills\DKA\3030DW09.DOCX"/>
    <w:docVar w:name="dvBillNumber" w:val="307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844</Characters>
  <Application>Microsoft Office Word</Application>
  <DocSecurity>0</DocSecurity>
  <Lines>7</Lines>
  <Paragraphs>1</Paragraphs>
  <ScaleCrop>false</ScaleCrop>
  <Company> 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2008-11-21T18:48:00Z</cp:lastPrinted>
  <dcterms:created xsi:type="dcterms:W3CDTF">2008-12-09T22:02:00Z</dcterms:created>
  <dcterms:modified xsi:type="dcterms:W3CDTF">2008-12-09T22:02:00Z</dcterms:modified>
</cp:coreProperties>
</file>