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2" w:name="titletop"/>
      <w:bookmarkEnd w:id="2"/>
      <w:r>
        <w:rPr>
          <w:rFonts w:eastAsia="Times New Roman" w:cs="Times New Roman"/>
          <w:color w:val="000000"/>
          <w:szCs w:val="20"/>
        </w:rPr>
        <w:t>TO AMEND THE CODE OF LAWS OF SOUTH CAROLINA, 1976, BY ADDING CHAPTER 52 TO TITLE 27 SO AS TO ENACT THE SOUTH CAROLINA HOMEOWNERS’ ASSOCIATION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color w:val="000000"/>
          <w:szCs w:val="20"/>
        </w:rPr>
        <w:t>This act may be cited as the “South Carolina Homeowners’ Association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2.</w:t>
      </w:r>
      <w:r>
        <w:rPr>
          <w:rFonts w:eastAsia="Times New Roman" w:cs="Times New Roman"/>
          <w:color w:val="000000"/>
          <w:szCs w:val="20"/>
        </w:rPr>
        <w:tab/>
        <w:t>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r>
        <w:rPr>
          <w:rFonts w:eastAsia="Times New Roman" w:cs="Times New Roman"/>
          <w:color w:val="000000"/>
          <w:szCs w:val="20"/>
        </w:rPr>
        <w:t>“CHAPTER 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r>
        <w:rPr>
          <w:rFonts w:eastAsia="Times New Roman" w:cs="Times New Roman"/>
          <w:color w:val="000000"/>
          <w:szCs w:val="20"/>
        </w:rPr>
        <w:t>South Carolina Homeowners’ Association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110.</w:t>
      </w:r>
      <w:r>
        <w:rPr>
          <w:rFonts w:eastAsia="Times New Roman" w:cs="Times New Roman"/>
          <w:color w:val="000000"/>
          <w:szCs w:val="20"/>
        </w:rPr>
        <w:tab/>
      </w:r>
      <w:r>
        <w:rPr>
          <w:rFonts w:eastAsia="Times New Roman" w:cs="Times New Roman"/>
          <w:color w:val="000000"/>
          <w:szCs w:val="2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‘Adjudicatory panel’ means a committee composed of association members appointed by the board of directors for the purpose of conducting a hearing pursuant to Sections 27</w:t>
      </w:r>
      <w:r>
        <w:rPr>
          <w:rFonts w:eastAsia="Times New Roman" w:cs="Times New Roman"/>
          <w:color w:val="000000"/>
          <w:szCs w:val="20"/>
        </w:rPr>
        <w:noBreakHyphen/>
        <w:t>52</w:t>
      </w:r>
      <w:r>
        <w:rPr>
          <w:rFonts w:eastAsia="Times New Roman" w:cs="Times New Roman"/>
          <w:color w:val="000000"/>
          <w:szCs w:val="20"/>
        </w:rPr>
        <w:noBreakHyphen/>
        <w:t>170 and 27</w:t>
      </w:r>
      <w:r>
        <w:rPr>
          <w:rFonts w:eastAsia="Times New Roman" w:cs="Times New Roman"/>
          <w:color w:val="000000"/>
          <w:szCs w:val="20"/>
        </w:rPr>
        <w:noBreakHyphen/>
        <w:t>52</w:t>
      </w:r>
      <w:r>
        <w:rPr>
          <w:rFonts w:eastAsia="Times New Roman" w:cs="Times New Roman"/>
          <w:color w:val="000000"/>
          <w:szCs w:val="20"/>
        </w:rPr>
        <w:noBreakHyphen/>
        <w:t>180.  A member of the adjudicatory panel may not be a member of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‘Assessment’ means a sum of money payable to the association, to the developer or other owner of common areas, or to recreational facilities or other properties serving lots or units by the owners of one or more lots or units as authorized in governing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(3)</w:t>
      </w:r>
      <w:r>
        <w:rPr>
          <w:rFonts w:eastAsia="Times New Roman" w:cs="Times New Roman"/>
          <w:color w:val="000000"/>
          <w:szCs w:val="20"/>
        </w:rPr>
        <w:tab/>
        <w:t>‘Board of directors’ means the executive body of a homeowners’ association or a committee that exercises the power of the executive body by resolution or bylaw.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(4)</w:t>
      </w:r>
      <w:r>
        <w:rPr>
          <w:rFonts w:eastAsia="Times New Roman" w:cs="Times New Roman"/>
          <w:color w:val="000000"/>
          <w:szCs w:val="20"/>
        </w:rPr>
        <w:tab/>
        <w:t>‘Common area’ means all property within a community owned or leased by an association or dedicated for use or maintenance by the association or its members, regardless of whether title has been conveyed to or retained by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(5)</w:t>
      </w:r>
      <w:r>
        <w:rPr>
          <w:rFonts w:eastAsia="Times New Roman" w:cs="Times New Roman"/>
          <w:color w:val="000000"/>
          <w:szCs w:val="20"/>
        </w:rPr>
        <w:tab/>
        <w:t>‘Declarant’ means the person or entity signing the declaration and its successors or assigns who may submit property to a declaration.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(6)</w:t>
      </w:r>
      <w:r>
        <w:rPr>
          <w:rFonts w:eastAsia="Times New Roman" w:cs="Times New Roman"/>
          <w:color w:val="000000"/>
          <w:szCs w:val="20"/>
        </w:rPr>
        <w:tab/>
        <w:t>‘Declaration’ means an instrument, including an amendment or supplement to the instrument, however denominated, that subjects land comprising a community to the jurisdiction and control of a homeowners’ association in which owners of the lots or units, or their association representatives, must be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(7)</w:t>
      </w:r>
      <w:r>
        <w:rPr>
          <w:rFonts w:eastAsia="Times New Roman" w:cs="Times New Roman"/>
          <w:color w:val="000000"/>
          <w:szCs w:val="20"/>
        </w:rPr>
        <w:tab/>
        <w:t>‘Department’ means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(8)</w:t>
      </w:r>
      <w:r>
        <w:rPr>
          <w:rFonts w:eastAsia="Times New Roman" w:cs="Times New Roman"/>
          <w:color w:val="000000"/>
          <w:szCs w:val="20"/>
        </w:rPr>
        <w:tab/>
        <w:t>‘Governing document’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(9)</w:t>
      </w:r>
      <w:r>
        <w:rPr>
          <w:rFonts w:eastAsia="Times New Roman" w:cs="Times New Roman"/>
          <w:color w:val="000000"/>
          <w:szCs w:val="20"/>
        </w:rPr>
        <w:tab/>
        <w:t>‘Homeowners’ association’ or ‘association’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(10)</w:t>
      </w:r>
      <w:r>
        <w:rPr>
          <w:rFonts w:eastAsia="Times New Roman" w:cs="Times New Roman"/>
          <w:color w:val="000000"/>
          <w:szCs w:val="20"/>
        </w:rPr>
        <w:tab/>
        <w:t>‘Lot’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(11)</w:t>
      </w:r>
      <w:r>
        <w:rPr>
          <w:rFonts w:eastAsia="Times New Roman" w:cs="Times New Roman"/>
          <w:color w:val="000000"/>
          <w:szCs w:val="20"/>
        </w:rPr>
        <w:tab/>
        <w:t>‘Member’ means a member of a homeowners’ association, and may include, but is not limited to, a lot or unit owner or an association representing lot or unit owners or a combination thereof, and includes a person or entity obligated by the governing documents to pay an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(12)</w:t>
      </w:r>
      <w:r>
        <w:rPr>
          <w:rFonts w:eastAsia="Times New Roman" w:cs="Times New Roman"/>
          <w:color w:val="000000"/>
          <w:szCs w:val="20"/>
        </w:rPr>
        <w:tab/>
        <w:t>‘Person’ means an individual, corporation, partnership, association, unincorporated organization, or other form of entity, however organized, including a nonprofit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(13)</w:t>
      </w:r>
      <w:r>
        <w:rPr>
          <w:rFonts w:eastAsia="Times New Roman" w:cs="Times New Roman"/>
          <w:color w:val="000000"/>
          <w:szCs w:val="20"/>
        </w:rPr>
        <w:tab/>
        <w:t>‘Unit’ means property in a horizontal property regime pursuant to Section 27</w:t>
      </w:r>
      <w:r>
        <w:rPr>
          <w:rFonts w:eastAsia="Times New Roman" w:cs="Times New Roman"/>
          <w:color w:val="000000"/>
          <w:szCs w:val="20"/>
        </w:rPr>
        <w:noBreakHyphen/>
        <w:t>31</w:t>
      </w:r>
      <w:r>
        <w:rPr>
          <w:rFonts w:eastAsia="Times New Roman" w:cs="Times New Roman"/>
          <w:color w:val="000000"/>
          <w:szCs w:val="20"/>
        </w:rP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120.</w:t>
      </w:r>
      <w:r>
        <w:rPr>
          <w:rFonts w:eastAsia="Times New Roman" w:cs="Times New Roman"/>
          <w:color w:val="000000"/>
          <w:szCs w:val="20"/>
        </w:rPr>
        <w:tab/>
      </w:r>
      <w:r>
        <w:rPr>
          <w:rFonts w:eastAsia="Times New Roman" w:cs="Times New Roman"/>
          <w:color w:val="000000"/>
          <w:szCs w:val="20"/>
        </w:rPr>
        <w:tab/>
        <w:t xml:space="preserve">A person may not act as a homeowners’ association without first receiving a certificate of registration from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130.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Upon filing a declaration , the declarant must file an application for a preliminary registration with the department on a form prescribed by the department.  The application must be in writing, under oath, and, at a minimum,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name, address, and telephone number of the declarant;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name, address, and telephone number of the declarant’s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anticipated number of lots or units to be included in the homeowners’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copy of the declaration, master deed, or master lease and restrictive covenants.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An application for preliminary registration must be accompanied by a nonrefundable fee of one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Upon the formation of the homeowners’ association’s board of directors and the imposition of assessments, the homeowners’ association must submit an application for registration pursuant to Section 27</w:t>
      </w:r>
      <w:r>
        <w:rPr>
          <w:rFonts w:eastAsia="Times New Roman" w:cs="Times New Roman"/>
          <w:color w:val="000000"/>
          <w:szCs w:val="20"/>
        </w:rPr>
        <w:noBreakHyphen/>
        <w:t>52</w:t>
      </w:r>
      <w:r>
        <w:rPr>
          <w:rFonts w:eastAsia="Times New Roman" w:cs="Times New Roman"/>
          <w:color w:val="000000"/>
          <w:szCs w:val="20"/>
        </w:rP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140.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homeowners’ association shall submit an application for registration to the department on a form prescribed by the department.  The application must be in writing, under oath, and, at a minimum,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name, address, and telephone number of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name of each community manager and the name of any other person who is authorized to manage the common areas of the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name, address, and telephone numbers of the members of the board of directors of the homeowners’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name, address, and telephone numbers of the officers of the homeowners’ association, if 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the current number of lots or units governed by the homeowners’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the assessments required to be paid by members of the homeowners’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a copy of the homeowners’ association’s declaration, articles of incorporation, bylaws, rules, and any amendments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a copy of the disclosure a member is required to give a potential buyer pursuant to Section 27</w:t>
      </w:r>
      <w:r>
        <w:rPr>
          <w:rFonts w:eastAsia="Times New Roman" w:cs="Times New Roman"/>
          <w:color w:val="000000"/>
          <w:szCs w:val="20"/>
        </w:rPr>
        <w:noBreakHyphen/>
        <w:t>52</w:t>
      </w:r>
      <w:r>
        <w:rPr>
          <w:rFonts w:eastAsia="Times New Roman" w:cs="Times New Roman"/>
          <w:color w:val="000000"/>
          <w:szCs w:val="20"/>
        </w:rPr>
        <w:noBreakHyphen/>
        <w:t>200.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If a document required to be submitted by this section exceeds twenty pages, the copy must be reproduced on both sides of the paper.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 xml:space="preserve">An application for registration must be accompanied by a nonrefundable fee of ten dollars for each lot or unit in the community governed by the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150.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Meetings of the homeowners’ association must be held in accordance with the provisions of the bylaws at least once each year after the formation of the association.  The bylaws must specify an agent of the association who shall, at least twenty</w:t>
      </w:r>
      <w:r>
        <w:rPr>
          <w:rFonts w:eastAsia="Times New Roman" w:cs="Times New Roman"/>
          <w:color w:val="000000"/>
          <w:szCs w:val="20"/>
        </w:rPr>
        <w:noBreakHyphen/>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unit’s mailing address, or to an address otherwise specified in writing by the member, or sent by electronic means to an address specified in writing by the member.  Notice also must be conspicuously posted no less than forty</w:t>
      </w:r>
      <w:r>
        <w:rPr>
          <w:rFonts w:eastAsia="Times New Roman" w:cs="Times New Roman"/>
          <w:color w:val="000000"/>
          <w:szCs w:val="20"/>
        </w:rPr>
        <w:noBreakHyphen/>
        <w:t>eight hours in advance of the meeting in a common area that is reasonably calculated to be available to the majority of the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Pr>
          <w:rFonts w:eastAsia="Times New Roman" w:cs="Times New Roman"/>
          <w:color w:val="000000"/>
          <w:szCs w:val="20"/>
        </w:rPr>
        <w:noBreakHyphen/>
        <w:t>client privilege.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Unless otherwise required by statutory law, a quorum of the board is present throughout a meeting of the association if members constituting one</w:t>
      </w:r>
      <w:r>
        <w:rPr>
          <w:rFonts w:eastAsia="Times New Roman" w:cs="Times New Roman"/>
          <w:color w:val="000000"/>
          <w:szCs w:val="20"/>
        </w:rPr>
        <w:noBreakHyphen/>
        <w:t>third of the voting interests are present in person or by proxy at the beginning of the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An amendment to a governing document of the association cannot be made unless two</w:t>
      </w:r>
      <w:r>
        <w:rPr>
          <w:rFonts w:eastAsia="Times New Roman" w:cs="Times New Roman"/>
          <w:color w:val="000000"/>
          <w:szCs w:val="20"/>
        </w:rPr>
        <w:noBreakHyphen/>
        <w:t>thirds of the association’s voting interests, either voting in person or by proxy, approve the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160.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The homeowners’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At a minimum, each of the following items, as applicable, must be maintained and held in a place easily accessible to the homeowners’ association’s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 copy of plan, specification, permit, or warranty related to improvements constructed on the common areas or other property that the association is obligated to maintain, repair, or replace;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 copy of the association’s declaration, bylaws, articles of incorporation, rules, and any amendments to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minutes of all meetings of the board of directors and of the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current roster of all members, their mailing addresses, and lot or unit identifications.  The association also shall maintain the electronic mailing address or alternate mailing address designated by members to receive notice pursuant to Section 27</w:t>
      </w:r>
      <w:r>
        <w:rPr>
          <w:rFonts w:eastAsia="Times New Roman" w:cs="Times New Roman"/>
          <w:color w:val="000000"/>
          <w:szCs w:val="20"/>
        </w:rPr>
        <w:noBreakHyphen/>
        <w:t>52</w:t>
      </w:r>
      <w:r>
        <w:rPr>
          <w:rFonts w:eastAsia="Times New Roman" w:cs="Times New Roman"/>
          <w:color w:val="000000"/>
          <w:szCs w:val="20"/>
        </w:rPr>
        <w:noBreakHyphen/>
        <w:t>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all of the association’s insurance policies or a copy of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a current copy of all contracts to which the association is a party, including management agreement, lease, or other contract under which the association has an obligation or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a copy of a bid received by the association in the past year for work to be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a copy of the association’s annual budget for the past three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the financial and accounting records of the association, including records of receipts and expenditures, a current accounting for each member, association tax returns, and financial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association’s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association’s failure to comply.  The calculation begins on the eleventh business day after receipt of the written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The homeowners’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member’s lot or unit mailing address or alternate address provided in writing by the member that the budget is available pursuant to Section 27</w:t>
      </w:r>
      <w:r>
        <w:rPr>
          <w:rFonts w:eastAsia="Times New Roman" w:cs="Times New Roman"/>
          <w:color w:val="000000"/>
          <w:szCs w:val="20"/>
        </w:rPr>
        <w:noBreakHyphen/>
        <w:t>52</w:t>
      </w:r>
      <w:r>
        <w:rPr>
          <w:rFonts w:eastAsia="Times New Roman" w:cs="Times New Roman"/>
          <w:color w:val="000000"/>
          <w:szCs w:val="20"/>
        </w:rPr>
        <w:noBreakHyphen/>
        <w:t>160(C).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The homeowners’ association shall prepare an annual financial report within ninety days after the close of its fiscal year.  The association shall provide each member with a copy of the budget or written notice to the member’s lot or unit mailing address or alternate address provided in writing by the member that the financial report is available pursuant to Section 27</w:t>
      </w:r>
      <w:r>
        <w:rPr>
          <w:rFonts w:eastAsia="Times New Roman" w:cs="Times New Roman"/>
          <w:color w:val="000000"/>
          <w:szCs w:val="20"/>
        </w:rPr>
        <w:noBreakHyphen/>
        <w:t>52</w:t>
      </w:r>
      <w:r>
        <w:rPr>
          <w:rFonts w:eastAsia="Times New Roman" w:cs="Times New Roman"/>
          <w:color w:val="000000"/>
          <w:szCs w:val="20"/>
        </w:rPr>
        <w:noBreakHyphen/>
        <w:t>160(C).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A homeowners’ association annually shall, on or before April fifteenth, file a written report with the department relating to the operation of the association during the preceding calendar year.  The report must be made under oath on a form prescribed by the department.  The department may impose a late penalty of ten dollars a day for each day the report is past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170.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homeowners’ association shall not charge or attempt to collect an assessment or fine from a member that is not set forth in the governing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association’s governing documents must prescribe the manner in which expenses are shared and specify the member’s proportional share thereof for annual assessments and special assessments.  An association may not charge a member an annual assessment that is more than twenty percent greater than the previous year’s assessments without the approval of two</w:t>
      </w:r>
      <w:r>
        <w:rPr>
          <w:rFonts w:eastAsia="Times New Roman" w:cs="Times New Roman"/>
          <w:color w:val="000000"/>
          <w:szCs w:val="20"/>
        </w:rPr>
        <w:noBreakHyphen/>
        <w:t>thirds of the members of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180.</w:t>
      </w:r>
      <w:r>
        <w:rPr>
          <w:rFonts w:eastAsia="Times New Roman" w:cs="Times New Roman"/>
          <w:color w:val="000000"/>
          <w:szCs w:val="20"/>
        </w:rPr>
        <w:tab/>
        <w:t>(A)</w:t>
      </w:r>
      <w:r>
        <w:rPr>
          <w:rFonts w:eastAsia="Times New Roman" w:cs="Times New Roman"/>
          <w:color w:val="000000"/>
          <w:szCs w:val="2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member’s lot or unit’s mailing address or address otherwise specified in writing by the member and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 statement of any amount the association claims is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a description of how the homeowner may remedy the situation;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 date and time for the member’s hearing before the adjudicatory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information on the availability of nonbinding mediation through the department pursuant to Section 27</w:t>
      </w:r>
      <w:r>
        <w:rPr>
          <w:rFonts w:eastAsia="Times New Roman" w:cs="Times New Roman"/>
          <w:color w:val="000000"/>
          <w:szCs w:val="20"/>
        </w:rPr>
        <w:noBreakHyphen/>
        <w:t>52</w:t>
      </w:r>
      <w:r>
        <w:rPr>
          <w:rFonts w:eastAsia="Times New Roman" w:cs="Times New Roman"/>
          <w:color w:val="000000"/>
          <w:szCs w:val="20"/>
        </w:rPr>
        <w:noBreakHyphen/>
        <w:t>190;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provide the department’s current address, telephone numbers, and website address.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Before a homeowners’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member’s lot or unit’s mailing address or address otherwise specified in writing by the member and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specific alleged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a date, time, and place for the member’s hearing before the homeowners’ association’s adjudicatory panel;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availability of nonbinding mediation through the department pursuant to Section 27</w:t>
      </w:r>
      <w:r>
        <w:rPr>
          <w:rFonts w:eastAsia="Times New Roman" w:cs="Times New Roman"/>
          <w:color w:val="000000"/>
          <w:szCs w:val="20"/>
        </w:rPr>
        <w:noBreakHyphen/>
        <w:t>52</w:t>
      </w:r>
      <w:r>
        <w:rPr>
          <w:rFonts w:eastAsia="Times New Roman" w:cs="Times New Roman"/>
          <w:color w:val="000000"/>
          <w:szCs w:val="20"/>
        </w:rPr>
        <w:noBreakHyphen/>
        <w:t>190;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department’s current address, telephone numbers, and website address.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If the adjudicatory panel of the homeowners’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190.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A member may seek nonbinding mediation through the department for disputes involving the association’s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 xml:space="preserve">For an action instituted by a member, notice of the dispute must be given to the board of directors of the association at least fourteen days prior to the member submitting a request for mediation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If the member submits a request for mediation as a result of receiving a notice required by Sections 27</w:t>
      </w:r>
      <w:r>
        <w:rPr>
          <w:rFonts w:eastAsia="Times New Roman" w:cs="Times New Roman"/>
          <w:color w:val="000000"/>
          <w:szCs w:val="20"/>
        </w:rPr>
        <w:noBreakHyphen/>
        <w:t>52</w:t>
      </w:r>
      <w:r>
        <w:rPr>
          <w:rFonts w:eastAsia="Times New Roman" w:cs="Times New Roman"/>
          <w:color w:val="000000"/>
          <w:szCs w:val="20"/>
        </w:rPr>
        <w:noBreakHyphen/>
        <w:t>180(A) or 27</w:t>
      </w:r>
      <w:r>
        <w:rPr>
          <w:rFonts w:eastAsia="Times New Roman" w:cs="Times New Roman"/>
          <w:color w:val="000000"/>
          <w:szCs w:val="20"/>
        </w:rPr>
        <w:noBreakHyphen/>
        <w:t>52</w:t>
      </w:r>
      <w:r>
        <w:rPr>
          <w:rFonts w:eastAsia="Times New Roman" w:cs="Times New Roman"/>
          <w:color w:val="000000"/>
          <w:szCs w:val="20"/>
        </w:rPr>
        <w:noBreakHyphen/>
        <w:t>180(B), the member, within thirty days of the adjudicatory panel hearing, must submit a request for mediation to the department and copy the association on the request.  If the member chooses not to be heard by the association’s adjudicatory panel, the member must, within thirty days of receiving the notice, submit a request for mediation to the department and copy the association on the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Upon receiving the notice of the request for mediation, the homeowners’ association may not take any adverse action against the member until after the mediation occurs.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200.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 xml:space="preserve">A member must give all prospective buyers a written disclosure indicating that the lot or unit being sold is in a community under the control and jurisdiction of a homeowners’ association.  The disclosure must include the most current telephone number and address of the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Within ten days after receipt of a written notice of a pending sale, and before the sale of the lot or unit, the member shall mail or deliver to a potential purchaser a packet containing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copy of the bylaws and the rules of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copy of the declaration;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color w:val="000000"/>
          <w:szCs w:val="20"/>
        </w:rPr>
        <w:t>(3)</w:t>
      </w:r>
      <w:r>
        <w:rPr>
          <w:rFonts w:eastAsia="Times New Roman" w:cs="Times New Roman"/>
          <w:color w:val="000000"/>
          <w:szCs w:val="20"/>
        </w:rPr>
        <w:tab/>
        <w:t>dated statement containing: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telephone number and address of a principal contact for the association, which may be an association manager, an association management company, an officer of the association, or another person designated by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the amount of the common regular assessment and the unpaid common regular assessment, special assessment or other assessment, fee, or charge currently due and payable from the selling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b/>
          <w:bCs/>
          <w:color w:val="000000"/>
          <w:szCs w:val="20"/>
        </w:rPr>
        <w:tab/>
      </w:r>
      <w:r>
        <w:rPr>
          <w:rFonts w:eastAsia="Times New Roman" w:cs="Times New Roman"/>
          <w:color w:val="000000"/>
          <w:szCs w:val="20"/>
        </w:rPr>
        <w:t>(c)</w:t>
      </w:r>
      <w:r>
        <w:rPr>
          <w:rFonts w:eastAsia="Times New Roman" w:cs="Times New Roman"/>
          <w:color w:val="000000"/>
          <w:szCs w:val="20"/>
        </w:rPr>
        <w:tab/>
        <w:t>a statement as to whether a portion of the lot or unit is covered by insurance maintained by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(d)</w:t>
      </w:r>
      <w:r>
        <w:rPr>
          <w:rFonts w:eastAsia="Times New Roman" w:cs="Times New Roman"/>
          <w:color w:val="000000"/>
          <w:szCs w:val="20"/>
        </w:rPr>
        <w:tab/>
        <w:t>the total amount of money held by the association as reserves;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(e)</w:t>
      </w:r>
      <w:r>
        <w:rPr>
          <w:rFonts w:eastAsia="Times New Roman" w:cs="Times New Roman"/>
          <w:color w:val="000000"/>
          <w:szCs w:val="20"/>
        </w:rPr>
        <w:tab/>
        <w:t>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at the time of purchase and that are not reflected in the association’s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(f)</w:t>
      </w:r>
      <w:r>
        <w:rPr>
          <w:rFonts w:eastAsia="Times New Roman" w:cs="Times New Roman"/>
          <w:color w:val="000000"/>
          <w:szCs w:val="20"/>
        </w:rPr>
        <w:tab/>
        <w:t>statement regarding whether the member has knowledge of an alteration or improvement to the lot or unit that violates the declaration;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(g)</w:t>
      </w:r>
      <w:r>
        <w:rPr>
          <w:rFonts w:eastAsia="Times New Roman" w:cs="Times New Roman"/>
          <w:color w:val="000000"/>
          <w:szCs w:val="20"/>
        </w:rPr>
        <w:tab/>
        <w:t>statement by the member and the association containing case names and case numbers for pending litigation with respect to the lot or unit filed by the association against the member or filed by the member against the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(h)</w:t>
      </w:r>
      <w:r>
        <w:rPr>
          <w:rFonts w:eastAsia="Times New Roman" w:cs="Times New Roman"/>
          <w:color w:val="000000"/>
          <w:szCs w:val="20"/>
        </w:rPr>
        <w:tab/>
        <w:t>statement that provides ‘I hereby acknowledge that the declaration, bylaws, and rules of the association constitute a contract between the association and me (the purchaser).  By signing this statement, I acknowledge that I have read and understand the homeowner’s association’s contract with me (the purchaser).  I also understand that as a matter of South Carolina law, if I fail to pay my homeowner’s association assessments, the homeowner’s association may foreclose on my property.’  The statement must be signed by the purchaser and forwarded to the association within fourteen days of the sale of the lot or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copy of the current operating budget of the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a copy of the most recent annual financial report of the association.  If the report is more than ten pages in length, the association may provide a summary of the report in lieu of the entire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color w:val="000000"/>
          <w:szCs w:val="20"/>
        </w:rPr>
      </w:pPr>
      <w:r>
        <w:rPr>
          <w:rFonts w:eastAsia="Times New Roman" w:cs="Times New Roman"/>
          <w:b/>
          <w:bCs/>
          <w:color w:val="000000"/>
          <w:szCs w:val="20"/>
        </w:rPr>
        <w:tab/>
      </w:r>
      <w:r>
        <w:rPr>
          <w:rFonts w:eastAsia="Times New Roman" w:cs="Times New Roman"/>
          <w:color w:val="000000"/>
          <w:szCs w:val="20"/>
        </w:rPr>
        <w:t>(C)</w:t>
      </w:r>
      <w:r>
        <w:rPr>
          <w:rFonts w:eastAsia="Times New Roman" w:cs="Times New Roman"/>
          <w:color w:val="000000"/>
          <w:szCs w:val="2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rFonts w:eastAsia="Times New Roman" w:cs="Times New Roman"/>
          <w:b/>
          <w:bCs/>
          <w:color w:val="000000"/>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b/>
          <w:bCs/>
          <w:color w:val="000000"/>
          <w:szCs w:val="20"/>
        </w:rPr>
        <w:tab/>
      </w:r>
      <w:r>
        <w:rPr>
          <w:rFonts w:eastAsia="Times New Roman" w:cs="Times New Roman"/>
          <w:color w:val="000000"/>
          <w:szCs w:val="20"/>
        </w:rPr>
        <w:t>(D)</w:t>
      </w:r>
      <w:r>
        <w:rPr>
          <w:rFonts w:eastAsia="Times New Roman" w:cs="Times New Roman"/>
          <w:color w:val="000000"/>
          <w:szCs w:val="2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attorney’s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The association may charge the member a reasonable fee to compensate the association for the costs incurred in the preparation of statements furnished by the association pursuant to this section.  The association shall make available to any interested party the amount of the pre</w:t>
      </w:r>
      <w:r>
        <w:rPr>
          <w:rFonts w:eastAsia="Times New Roman" w:cs="Times New Roman"/>
          <w:color w:val="000000"/>
          <w:szCs w:val="20"/>
        </w:rPr>
        <w:noBreakHyphen/>
        <w:t>sale disclosure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For purposes of this section, unless the context otherwise requires, ‘member’ means the seller of the lot or unit title and excludes any South Carolina licensed real estate salesperson or real estate broker who is acting as a salesperson or broker and also excludes a trustee of a deed of trust who is selling the property in a trustee’s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210.</w:t>
      </w:r>
      <w:r>
        <w:rPr>
          <w:rFonts w:eastAsia="Times New Roman" w:cs="Times New Roman"/>
          <w:color w:val="000000"/>
          <w:szCs w:val="20"/>
        </w:rPr>
        <w:tab/>
      </w:r>
      <w:r>
        <w:rPr>
          <w:rFonts w:eastAsia="Times New Roman" w:cs="Times New Roman"/>
          <w:color w:val="000000"/>
          <w:szCs w:val="20"/>
        </w:rPr>
        <w:tab/>
        <w:t>A homeowners’ association owes to its members a duty of utmost care, honesty, and loyalty, including the duty of due diligence when handling matters of the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220.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The department may enforce the provisions of this chapter and investigate a suspected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department’s investigation may require a registered person, unregistered person, or an applicant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respond to questions concerning activities regulated under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provide relevant records.  The records must be made available to the department within three business days of a request unless the department grants an extension.  The department may inspect records on</w:t>
      </w:r>
      <w:r>
        <w:rPr>
          <w:rFonts w:eastAsia="Times New Roman" w:cs="Times New Roman"/>
          <w:color w:val="000000"/>
          <w:szCs w:val="20"/>
        </w:rPr>
        <w:noBreakHyphen/>
        <w:t xml:space="preserve">site.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 xml:space="preserve">If the association fails to appeal the cease and desist order of the department and continues to engage in the action in violation of the department’s order, the association is subject to a penalty of not less than one thousand nor more than two thousand five hundred dollars, in the discretion of the department, for each action the association takes in violation of the department’s order. The penalty provision of this section is in addition to and not instead of other provisions of law applicable to an association’s failure to comply with an order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230.</w:t>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A person who has exhausted all administrative remedies available with the department and who is aggrieved by the department’s determination is entitled to a contested case hearing before the Administrative Law Court as provided in Section 1</w:t>
      </w:r>
      <w:r>
        <w:rPr>
          <w:rFonts w:eastAsia="Times New Roman" w:cs="Times New Roman"/>
          <w:color w:val="000000"/>
          <w:szCs w:val="20"/>
        </w:rPr>
        <w:noBreakHyphen/>
        <w:t>23</w:t>
      </w:r>
      <w:r>
        <w:rPr>
          <w:rFonts w:eastAsia="Times New Roman" w:cs="Times New Roman"/>
          <w:color w:val="000000"/>
          <w:szCs w:val="20"/>
        </w:rPr>
        <w:noBreakHyphen/>
        <w:t>600(D) and judicial review as provided in Sections 1</w:t>
      </w:r>
      <w:r>
        <w:rPr>
          <w:rFonts w:eastAsia="Times New Roman" w:cs="Times New Roman"/>
          <w:color w:val="000000"/>
          <w:szCs w:val="20"/>
        </w:rPr>
        <w:noBreakHyphen/>
        <w:t>23</w:t>
      </w:r>
      <w:r>
        <w:rPr>
          <w:rFonts w:eastAsia="Times New Roman" w:cs="Times New Roman"/>
          <w:color w:val="000000"/>
          <w:szCs w:val="20"/>
        </w:rPr>
        <w:noBreakHyphen/>
        <w:t>380(B) and 1</w:t>
      </w:r>
      <w:r>
        <w:rPr>
          <w:rFonts w:eastAsia="Times New Roman" w:cs="Times New Roman"/>
          <w:color w:val="000000"/>
          <w:szCs w:val="20"/>
        </w:rPr>
        <w:noBreakHyphen/>
        <w:t>23</w:t>
      </w:r>
      <w:r>
        <w:rPr>
          <w:rFonts w:eastAsia="Times New Roman" w:cs="Times New Roman"/>
          <w:color w:val="000000"/>
          <w:szCs w:val="20"/>
        </w:rPr>
        <w:noBreakHyphen/>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Pr>
          <w:rFonts w:eastAsia="Times New Roman" w:cs="Times New Roman"/>
          <w:color w:val="000000"/>
          <w:szCs w:val="20"/>
        </w:rPr>
        <w:noBreakHyphen/>
        <w:t>23</w:t>
      </w:r>
      <w:r>
        <w:rPr>
          <w:rFonts w:eastAsia="Times New Roman" w:cs="Times New Roman"/>
          <w:color w:val="000000"/>
          <w:szCs w:val="20"/>
        </w:rPr>
        <w:noBreakHyphen/>
        <w:t>380 and 1</w:t>
      </w:r>
      <w:r>
        <w:rPr>
          <w:rFonts w:eastAsia="Times New Roman" w:cs="Times New Roman"/>
          <w:color w:val="000000"/>
          <w:szCs w:val="20"/>
        </w:rPr>
        <w:noBreakHyphen/>
        <w:t>23</w:t>
      </w:r>
      <w:r>
        <w:rPr>
          <w:rFonts w:eastAsia="Times New Roman" w:cs="Times New Roman"/>
          <w:color w:val="000000"/>
          <w:szCs w:val="20"/>
        </w:rPr>
        <w:noBreakHyphen/>
        <w:t xml:space="preserve">610.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240.</w:t>
      </w:r>
      <w:r>
        <w:rPr>
          <w:rFonts w:eastAsia="Times New Roman" w:cs="Times New Roman"/>
          <w:color w:val="000000"/>
          <w:szCs w:val="20"/>
        </w:rPr>
        <w:tab/>
      </w:r>
      <w:r>
        <w:rPr>
          <w:rFonts w:eastAsia="Times New Roman" w:cs="Times New Roman"/>
          <w:color w:val="000000"/>
          <w:szCs w:val="20"/>
        </w:rPr>
        <w:tab/>
        <w:t xml:space="preserve">The department may promulgate regulations necessary to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27</w:t>
      </w:r>
      <w:r>
        <w:rPr>
          <w:rFonts w:eastAsia="Times New Roman" w:cs="Times New Roman"/>
          <w:color w:val="000000"/>
          <w:szCs w:val="20"/>
        </w:rPr>
        <w:noBreakHyphen/>
        <w:t>52</w:t>
      </w:r>
      <w:r>
        <w:rPr>
          <w:rFonts w:eastAsia="Times New Roman" w:cs="Times New Roman"/>
          <w:color w:val="000000"/>
          <w:szCs w:val="20"/>
        </w:rPr>
        <w:noBreakHyphen/>
        <w:t>250.</w:t>
      </w:r>
      <w:r>
        <w:rPr>
          <w:rFonts w:eastAsia="Times New Roman" w:cs="Times New Roman"/>
          <w:color w:val="000000"/>
          <w:szCs w:val="20"/>
        </w:rPr>
        <w:tab/>
      </w:r>
      <w:r>
        <w:rPr>
          <w:rFonts w:eastAsia="Times New Roman" w:cs="Times New Roman"/>
          <w:color w:val="000000"/>
          <w:szCs w:val="20"/>
        </w:rPr>
        <w:tab/>
        <w:t xml:space="preserve">A fee collected by the department must be retained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SECTION</w:t>
      </w:r>
      <w:r>
        <w:rPr>
          <w:rFonts w:eastAsia="Times New Roman" w:cs="Times New Roman"/>
          <w:color w:val="000000"/>
          <w:szCs w:val="20"/>
        </w:rPr>
        <w:tab/>
        <w:t>3.</w:t>
      </w:r>
      <w:r>
        <w:rPr>
          <w:rFonts w:eastAsia="Times New Roman" w:cs="Times New Roman"/>
          <w:color w:val="000000"/>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20"/>
        </w:rPr>
        <w:t>SECTION</w:t>
      </w:r>
      <w:r>
        <w:rPr>
          <w:rFonts w:eastAsia="Times New Roman" w:cs="Times New Roman"/>
          <w:color w:val="000000"/>
          <w:szCs w:val="20"/>
        </w:rPr>
        <w:tab/>
        <w:t>4.</w:t>
      </w:r>
      <w:r>
        <w:rPr>
          <w:rFonts w:eastAsia="Times New Roman" w:cs="Times New Roman"/>
          <w:color w:val="000000"/>
          <w:szCs w:val="20"/>
        </w:rPr>
        <w:tab/>
        <w:t>This act takes effect January 1, 2009</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B2E5E-A0BF-40E9-AD2B-3C6B3B6C7F00}"/>
    <w:embedBold r:id="rId2" w:fontKey="{C1FF2E16-5ADC-4123-A43B-67ED24CAB853}"/>
  </w:font>
  <w:font w:name="Calibri">
    <w:panose1 w:val="020F0502020204030204"/>
    <w:charset w:val="00"/>
    <w:family w:val="swiss"/>
    <w:pitch w:val="variable"/>
    <w:sig w:usb0="A00002EF" w:usb1="4000207B" w:usb2="00000000" w:usb3="00000000" w:csb0="0000009F" w:csb1="00000000"/>
    <w:embedRegular r:id="rId3" w:fontKey="{6D4BA0F5-CB7C-42EF-B95C-FCF5A7A98D53}"/>
  </w:font>
  <w:font w:name="Tahoma">
    <w:panose1 w:val="020B0604030504040204"/>
    <w:charset w:val="00"/>
    <w:family w:val="swiss"/>
    <w:pitch w:val="variable"/>
    <w:sig w:usb0="61002A87" w:usb1="80000000" w:usb2="00000008" w:usb3="00000000" w:csb0="000101FF" w:csb1="00000000"/>
    <w:embedRegular r:id="rId4" w:fontKey="{0B99E2E2-51B4-4DC2-AF20-8216C7D45FA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5A117F9-652C-4E55-9004-AF5A87C6E9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w:t>
    </w:r>
    <w:r>
      <w:tab/>
    </w:r>
    <w:fldSimple w:instr=" PAGE  \* MERGEFORMAT ">
      <w:r>
        <w:rPr>
          <w:noProof/>
        </w:rPr>
        <w:t>12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4009</Words>
  <Characters>22855</Characters>
  <Application>Microsoft Office Word</Application>
  <DocSecurity>0</DocSecurity>
  <Lines>190</Lines>
  <Paragraphs>53</Paragraphs>
  <ScaleCrop>false</ScaleCrop>
  <Company>Project Management</Company>
  <LinksUpToDate>false</LinksUpToDate>
  <CharactersWithSpaces>26811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2008-12-10T19:24:00Z</dcterms:created>
  <dcterms:modified xsi:type="dcterms:W3CDTF">2008-12-10T19:24:00Z</dcterms:modified>
</cp:coreProperties>
</file>