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7</w:t>
      </w:r>
      <w:r>
        <w:noBreakHyphen/>
        <w:t>350, CODE OF LAWS OF SOUTH CAROLINA, 1976, RELATING TO COMMUNITY RESIDENTIAL CARE FACILITIES, SO AS TO PROVIDE THAT THE DEPARTMENT OF HEALTH AND ENVIRONMENTAL CONTROL MAY NOT REMOVE A RESIDENT FROM SUCH A FACILITY IF THE RESIDENT, THE RESIDENT’S FAMILY, THE RESIDENT’S PHYSICIAN, AND THE FACILITY AGREE TO THE RESIDENT’S CONTINUED STAY AND THE FACILITY IS CAPABLE OF PROVIDING OR OBTAINING NECESSARY SERVICES FOR THE RESIDENT.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7</w:t>
      </w:r>
      <w:r>
        <w:noBreakHyphen/>
        <w:t>350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350.</w:t>
      </w:r>
      <w:r>
        <w:tab/>
      </w:r>
      <w:r>
        <w:rPr>
          <w:u w:val="single"/>
        </w:rPr>
        <w:t>(A)</w:t>
      </w:r>
      <w:r>
        <w:tab/>
        <w:t xml:space="preserve">The agency placing a client in a community residential care facility shall develop an individual plan of care in cooperation with the provider.  The placing agency shall monitor the plan to the extent considered appropriate by the placement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The department must not order the removal of a resident from a community residential care facility if the resident, the resident’s family, the resident’s physician, and the facility agree to the resident’s continued stay in the community residential care facility and the facility is capable of providing, obtaining, or arranging for necessary services for the resident including, but not limited to, home health care and hospice care.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(C)</w:t>
      </w:r>
      <w:r>
        <w:tab/>
        <w:t xml:space="preserve">Prior to a community residential care facility being licensed for operation in an area which is outside incorporated areas of a county, the following conditions must be met: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governing body for the area must be given notice of the proposed location.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Where the governing body objects to the proposed site for the facility, the arbitration procedures set forth in Act 449 of 1978 must be employed.”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2F600F-FF49-4E82-A144-10426B40A05C}"/>
    <w:embedBold r:id="rId2" w:fontKey="{FC36F37D-D222-40F5-9FA7-87589B52519E}"/>
  </w:font>
  <w:font w:name="Calibri">
    <w:panose1 w:val="020F0502020204030204"/>
    <w:charset w:val="00"/>
    <w:family w:val="swiss"/>
    <w:pitch w:val="variable"/>
    <w:sig w:usb0="A00002EF" w:usb1="4000207B" w:usb2="00000000" w:usb3="00000000" w:csb0="0000009F" w:csb1="00000000"/>
    <w:embedRegular r:id="rId3" w:fontKey="{2832F656-2D69-400F-BC86-4A023577E548}"/>
  </w:font>
  <w:font w:name="Cambria">
    <w:panose1 w:val="02040503050406030204"/>
    <w:charset w:val="00"/>
    <w:family w:val="roman"/>
    <w:pitch w:val="variable"/>
    <w:sig w:usb0="A00002EF" w:usb1="4000004B" w:usb2="00000000" w:usb3="00000000" w:csb0="0000009F" w:csb1="00000000"/>
    <w:embedRegular r:id="rId4" w:fontKey="{3E8D9E74-6854-43FC-96CF-DFD76901B5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09AC09"/>
    <w:docVar w:name="CoverBillType" w:val="b"/>
    <w:docVar w:name="docpath" w:val="L:\Council\bills\NBD\11009AC09.DOCX"/>
    <w:docVar w:name="dvBillNumber" w:val="3115"/>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1544</Characters>
  <Application>Microsoft Office Word</Application>
  <DocSecurity>0</DocSecurity>
  <Lines>12</Lines>
  <Paragraphs>3</Paragraphs>
  <ScaleCrop>false</ScaleCrop>
  <Company> </Company>
  <LinksUpToDate>false</LinksUpToDate>
  <CharactersWithSpaces>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2008-12-09T22:11:00Z</dcterms:created>
  <dcterms:modified xsi:type="dcterms:W3CDTF">2008-12-09T22:11:00Z</dcterms:modified>
</cp:coreProperties>
</file>