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2</w:t>
      </w:r>
      <w:r>
        <w:rPr>
          <w:rFonts w:eastAsiaTheme="minorHAnsi"/>
          <w:szCs w:val="22"/>
        </w:rPr>
        <w:noBreakHyphen/>
        <w:t>7</w:t>
      </w:r>
      <w:r>
        <w:rPr>
          <w:rFonts w:eastAsiaTheme="minorHAnsi"/>
          <w:szCs w:val="22"/>
        </w:rPr>
        <w:noBreakHyphen/>
        <w:t>60, CODE OF LAWS OF SOUTH CAROLINA, 1976, RELATING TO THE ANNUAL GENERAL APPROPRIATIONS ACT, SO AS TO PROVIDE THAT, BEGINNING WITH ITS 2011 SESSION, THE GENERAL ASSEMBLY SHALL ENACT A BIENNIAL STATE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2-7-60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2-7-60.</w:t>
      </w:r>
      <w:r>
        <w:tab/>
      </w:r>
      <w:r>
        <w:tab/>
      </w:r>
      <w:r>
        <w:rPr>
          <w:rFonts w:eastAsiaTheme="minorHAnsi"/>
          <w:szCs w:val="22"/>
          <w:u w:val="single"/>
        </w:rPr>
        <w:t>Except as hereinafter provided,</w:t>
      </w:r>
      <w:r>
        <w:rPr>
          <w:rFonts w:eastAsiaTheme="minorHAnsi"/>
          <w:szCs w:val="22"/>
        </w:rPr>
        <w:t xml:space="preserve"> </w:t>
      </w:r>
      <w:r>
        <w:rPr>
          <w:rFonts w:eastAsiaTheme="minorHAnsi"/>
          <w:strike/>
          <w:szCs w:val="22"/>
        </w:rPr>
        <w:t>The</w:t>
      </w:r>
      <w:r>
        <w:rPr>
          <w:rFonts w:eastAsiaTheme="minorHAnsi"/>
          <w:szCs w:val="22"/>
        </w:rPr>
        <w:t xml:space="preserve"> </w:t>
      </w:r>
      <w:r>
        <w:rPr>
          <w:rFonts w:eastAsiaTheme="minorHAnsi"/>
          <w:szCs w:val="22"/>
          <w:u w:val="single"/>
        </w:rPr>
        <w:t>the</w:t>
      </w:r>
      <w:r>
        <w:rPr>
          <w:rFonts w:eastAsiaTheme="minorHAnsi"/>
          <w:szCs w:val="22"/>
        </w:rPr>
        <w:t xml:space="preserve"> General Assembly shall annually provide for all expenditures in the general </w:t>
      </w:r>
      <w:r>
        <w:rPr>
          <w:rFonts w:eastAsiaTheme="minorHAnsi"/>
          <w:strike/>
          <w:szCs w:val="22"/>
        </w:rPr>
        <w:t>appropriation</w:t>
      </w:r>
      <w:r>
        <w:rPr>
          <w:rFonts w:eastAsiaTheme="minorHAnsi"/>
          <w:szCs w:val="22"/>
        </w:rPr>
        <w:t xml:space="preserve"> </w:t>
      </w:r>
      <w:r>
        <w:rPr>
          <w:rFonts w:eastAsiaTheme="minorHAnsi"/>
          <w:szCs w:val="22"/>
          <w:u w:val="single"/>
        </w:rPr>
        <w:t>appropriations</w:t>
      </w:r>
      <w:r>
        <w:rPr>
          <w:rFonts w:eastAsiaTheme="minorHAnsi"/>
          <w:szCs w:val="22"/>
        </w:rPr>
        <w:t xml:space="preserve"> act</w:t>
      </w:r>
      <w:r>
        <w:rPr>
          <w:rFonts w:eastAsiaTheme="minorHAnsi"/>
          <w:szCs w:val="22"/>
          <w:u w:val="single"/>
        </w:rPr>
        <w:t>,</w:t>
      </w:r>
      <w:r>
        <w:rPr>
          <w:rFonts w:eastAsiaTheme="minorHAnsi"/>
          <w:szCs w:val="22"/>
        </w:rPr>
        <w:t xml:space="preserve"> and the appropriations made for any department, institution, board or commission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in a definite sum for each purpose or activity with </w:t>
      </w:r>
      <w:r>
        <w:rPr>
          <w:rFonts w:eastAsiaTheme="minorHAnsi"/>
          <w:strike/>
          <w:szCs w:val="22"/>
        </w:rPr>
        <w:t>such</w:t>
      </w:r>
      <w:r>
        <w:rPr>
          <w:rFonts w:eastAsiaTheme="minorHAnsi"/>
          <w:szCs w:val="22"/>
        </w:rPr>
        <w:t xml:space="preserve"> </w:t>
      </w:r>
      <w:r>
        <w:rPr>
          <w:rFonts w:eastAsiaTheme="minorHAnsi"/>
          <w:szCs w:val="22"/>
          <w:u w:val="single"/>
        </w:rPr>
        <w:t>that</w:t>
      </w:r>
      <w:r>
        <w:rPr>
          <w:rFonts w:eastAsiaTheme="minorHAnsi"/>
          <w:szCs w:val="22"/>
        </w:rPr>
        <w:t xml:space="preserve"> itemization under the activity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necessary by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Beginning with its 2011 session and in each session every two years thereafter, the General Assembly shall enact a biennial state general appropriations act in a form and under conditions as the General Assembly considers appropriate.  On July 1, 2012, and thereafter, the term ‘annual state general appropriations act’ or any similar variations of this term as contained in any provision of law must be construed to mean the biennial state general appropriations act.</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1C2899-C928-4D7C-ABFC-4E3074F12652}"/>
    <w:embedBold r:id="rId2" w:fontKey="{93E91592-39AF-407C-8AE6-7D53BE3A2A2D}"/>
  </w:font>
  <w:font w:name="Calibri">
    <w:panose1 w:val="020F0502020204030204"/>
    <w:charset w:val="00"/>
    <w:family w:val="swiss"/>
    <w:pitch w:val="variable"/>
    <w:sig w:usb0="A00002EF" w:usb1="4000207B" w:usb2="00000000" w:usb3="00000000" w:csb0="0000009F" w:csb1="00000000"/>
    <w:embedRegular r:id="rId3" w:fontKey="{FEA8E5E2-8548-4F03-B5A7-F265E6CC282E}"/>
  </w:font>
  <w:font w:name="Cambria">
    <w:panose1 w:val="02040503050406030204"/>
    <w:charset w:val="00"/>
    <w:family w:val="roman"/>
    <w:pitch w:val="variable"/>
    <w:sig w:usb0="A00002EF" w:usb1="4000004B" w:usb2="00000000" w:usb3="00000000" w:csb0="0000009F" w:csb1="00000000"/>
    <w:embedRegular r:id="rId4" w:fontKey="{0BD78D29-DCE9-49DD-80EF-3C5D6D427E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4SD09"/>
    <w:docVar w:name="CoverBillType" w:val="b"/>
    <w:docVar w:name="docpath" w:val="L:\Council\bills\GJK\20024SD09.DOCX"/>
    <w:docVar w:name="dvBillNumber" w:val="312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1165</Characters>
  <Application>Microsoft Office Word</Application>
  <DocSecurity>0</DocSecurity>
  <Lines>9</Lines>
  <Paragraphs>2</Paragraphs>
  <ScaleCrop>false</ScaleCrop>
  <Company> </Company>
  <LinksUpToDate>false</LinksUpToDate>
  <CharactersWithSpaces>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2008-12-08T14:06:00Z</cp:lastPrinted>
  <dcterms:created xsi:type="dcterms:W3CDTF">2008-12-16T23:05:00Z</dcterms:created>
  <dcterms:modified xsi:type="dcterms:W3CDTF">2008-12-16T23:05:00Z</dcterms:modified>
</cp:coreProperties>
</file>