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58</w:t>
      </w:r>
      <w:r>
        <w:noBreakHyphen/>
        <w:t>15</w:t>
      </w:r>
      <w:r>
        <w:noBreakHyphen/>
        <w:t>915 SO AS TO PROVIDE THAT DURING THE HOURS OF SEVEN A.M. TO NINE A.M., TWELVE O’CLOCK NOON UNTIL TWO P.M., AND FOUR P.M. UNTIL SIX P.M., IN ORDER NOT TO CAUSE A HAZARD TO PUBLIC VEHICULAR TRANSPORTATION, A TRAIN IN A MUNICIPALITY MAY NOT BLOCK FOUR LANE INTERSECTIONS FOR MORE THAN FIVE MINUTES.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Supremacy Clause of Article VI of the United States Constitution provides that the laws of the United States shall be the supreme law of the land, anything in the constitution or laws of any state to the contrary notwithstanding, and invests in the Congress the power to preempt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preemption occurs when Congress, in enacting a federal statute, expresses a clear intent to preempt state law, when there is outright or actual conflict between federal and state law, where compliance with both federal and state law is in effect physically impossible, where there is implicit in federal law a barrier to state regulation, where Congress has legislated comprehensively, thus occupying an entire field of regulation and leaving no room for the states to supplement federal law, or where the state law stands as an obstacle to the accomplishment and execution for the full objectives of Congress;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critical question in any preemption analysis is always whether Congress intended that federal regulation supersede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tab/>
        <w:t>the Congress has enacted the Federal Railway Safety Act (FRSA) regulating various railroad safety and transit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FRSA contains a preemption clause which provides in part that laws, regulations, and orders related to railroad safety shall be nationally uniform to the extent practicable.  A state may adopt or continue in force a law, regulation, or order related to railroad safety until the Secretary of Transportation prescribes a regulation or issues an order covering the subject matter of the state requirement.  A state may adopt or continue in force an additional or more stringent law, regulation, or order related to railroad safety when the law, regulation, or order related to railroad safety: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is necessary to eliminate or reduce an essentially local safety hazard;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is not incompatible with a law, regulation, or order of the United States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does not unreasonably burden interstate commerce;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Congress expressly intended that the FRSA preempt all railroad safety legislation except state law governing an area in which the Secretary of Transportation has not issued a regulation or order and the state law is more strict than federal regulations when necessary to address local problems;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there appears to be no federal provision to date under the Federal Railway Safety Act which provides for specific time limits on how long a train or locomotive may block congested street or highway intersections;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State of South Carolina in the interest of motor vehicle safety is therefore permitted to act until such time as federal law or regulations specific to this problem supersede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9, Chapter 15,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15</w:t>
      </w:r>
      <w:r>
        <w:noBreakHyphen/>
        <w:t>915.</w:t>
      </w:r>
      <w:r>
        <w:tab/>
        <w:t>During the hours of seven a.m. to nine a.m., twelve o’clock noon until two p.m., and four p.m. until six p.m., in order not to cause a hazard to public vehicular transportation, a train in a municipality may not block four lane intersections for more than five minutes.  In the event the time limits contained in this section conflict with similar time limits under federal law or regulation, the federal time limits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6FEB41-96DE-4D2B-BAFB-1380E77D1B23}"/>
    <w:embedBold r:id="rId2" w:fontKey="{61BCD09E-0ABD-4DF2-BEE4-48D945A1B462}"/>
  </w:font>
  <w:font w:name="Calibri">
    <w:panose1 w:val="020F0502020204030204"/>
    <w:charset w:val="00"/>
    <w:family w:val="swiss"/>
    <w:pitch w:val="variable"/>
    <w:sig w:usb0="A00002EF" w:usb1="4000207B" w:usb2="00000000" w:usb3="00000000" w:csb0="0000009F" w:csb1="00000000"/>
    <w:embedRegular r:id="rId3" w:fontKey="{8DA915C1-6608-47B9-ACDC-E02E173C0850}"/>
  </w:font>
  <w:font w:name="Cambria">
    <w:panose1 w:val="02040503050406030204"/>
    <w:charset w:val="00"/>
    <w:family w:val="roman"/>
    <w:pitch w:val="variable"/>
    <w:sig w:usb0="A00002EF" w:usb1="4000004B" w:usb2="00000000" w:usb3="00000000" w:csb0="0000009F" w:csb1="00000000"/>
    <w:embedRegular r:id="rId4" w:fontKey="{F1D08ED9-93D7-4C8D-9098-12F16DBB74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3SD09"/>
    <w:docVar w:name="CoverBillType" w:val="b"/>
    <w:docVar w:name="docpath" w:val="L:\Council\bills\GJK\20033SD09.DOCX"/>
    <w:docVar w:name="dvBillNumber" w:val="315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3259</Characters>
  <Application>Microsoft Office Word</Application>
  <DocSecurity>0</DocSecurity>
  <Lines>27</Lines>
  <Paragraphs>7</Paragraphs>
  <ScaleCrop>false</ScaleCrop>
  <Company> </Company>
  <LinksUpToDate>false</LinksUpToDate>
  <CharactersWithSpaces>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2008-12-15T15:56:00Z</cp:lastPrinted>
  <dcterms:created xsi:type="dcterms:W3CDTF">2008-12-16T23:08:00Z</dcterms:created>
  <dcterms:modified xsi:type="dcterms:W3CDTF">2008-12-16T23:08:00Z</dcterms:modified>
</cp:coreProperties>
</file>