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tab/>
        <w:t>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For purposes of this section, ‘sexual orientation’ means a person’s actual or perceived heterosexuality, bisexuality, homosexuality, or gender identity or expression.”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this section is guilty of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felony and, upon conviction, must be fined in the discretion of the court or imprisoned not more than ten years, or both, if the injury to the property or the property loss is worth five thousand dollars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felony and, upon conviction, must be fined in the discretion of the court or imprisoned not more than five years, or both, if the injury to the property or the property loss is worth more than one thousand dollars but less than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misdemeanor triable in </w:t>
      </w:r>
      <w:r>
        <w:rPr>
          <w:strike/>
        </w:rPr>
        <w:t>magistrate’s</w:t>
      </w:r>
      <w:r>
        <w:t xml:space="preserve"> </w:t>
      </w:r>
      <w:r>
        <w:rPr>
          <w:u w:val="single"/>
        </w:rPr>
        <w:t>magistrates</w:t>
      </w:r>
      <w:r>
        <w:t xml:space="preserve"> court if the injury to the property or the property loss is worth one thousand dollars or less. Upon conviction, the person must be fined or imprisoned, or both, as permitted by law and without presentment or indictment by the grand 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A person who violates the provisions of </w:t>
      </w:r>
      <w:r>
        <w:rPr>
          <w:strike/>
        </w:rPr>
        <w:t xml:space="preserve">this section </w:t>
      </w:r>
      <w:r>
        <w:rPr>
          <w:u w:val="single"/>
        </w:rPr>
        <w:t>subsection (A)</w:t>
      </w:r>
      <w:r>
        <w:t xml:space="preserve"> is guilty of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felony and, upon conviction, must be fined in the discretion of the court or imprisoned not more than </w:t>
      </w:r>
      <w:r>
        <w:rPr>
          <w:strike/>
        </w:rPr>
        <w:t>ten</w:t>
      </w:r>
      <w:r>
        <w:t xml:space="preserve"> </w:t>
      </w:r>
      <w:r>
        <w:rPr>
          <w:u w:val="single"/>
        </w:rPr>
        <w:t>fifteen</w:t>
      </w:r>
      <w:r>
        <w:t xml:space="preserve"> years, or both, if the injury to the property or the property loss is worth five thousand dollars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felony and, upon conviction, must be fined in the discretion of the court or imprisoned not more than </w:t>
      </w:r>
      <w:r>
        <w:rPr>
          <w:strike/>
        </w:rPr>
        <w:t>five</w:t>
      </w:r>
      <w:r>
        <w:t xml:space="preserve"> </w:t>
      </w:r>
      <w:r>
        <w:rPr>
          <w:u w:val="single"/>
        </w:rPr>
        <w:t>ten</w:t>
      </w:r>
      <w:r>
        <w:t xml:space="preserve"> years, or both, if the injury to the property or the property loss is worth more than one thousand dollars but less than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misdemeanor triable in </w:t>
      </w:r>
      <w:r>
        <w:rPr>
          <w:strike/>
        </w:rPr>
        <w:t>magistrate’s</w:t>
      </w:r>
      <w:r>
        <w:t xml:space="preserve"> </w:t>
      </w:r>
      <w:r>
        <w:rPr>
          <w:u w:val="single"/>
        </w:rPr>
        <w:t>magistrates</w:t>
      </w:r>
      <w:r>
        <w:t xml:space="preserve"> court if the injury to the property or the property loss is worth one thousand dollars or less. Upon conviction, the person must be fined or imprisoned, or both, as permitted by law and without presentment or indictment of the grand 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C0F56A-9645-4C92-871A-CFFCDED6914D}"/>
    <w:embedBold r:id="rId2" w:fontKey="{BCFD83EA-C7D0-4125-BF07-156D6CB2307B}"/>
  </w:font>
  <w:font w:name="Calibri">
    <w:panose1 w:val="020F0502020204030204"/>
    <w:charset w:val="00"/>
    <w:family w:val="swiss"/>
    <w:pitch w:val="variable"/>
    <w:sig w:usb0="A00002EF" w:usb1="4000207B" w:usb2="00000000" w:usb3="00000000" w:csb0="0000009F" w:csb1="00000000"/>
    <w:embedRegular r:id="rId3" w:fontKey="{C65A86AE-28A9-4FFC-802A-12CF1BDB5BEF}"/>
  </w:font>
  <w:font w:name="Cambria">
    <w:panose1 w:val="02040503050406030204"/>
    <w:charset w:val="00"/>
    <w:family w:val="roman"/>
    <w:pitch w:val="variable"/>
    <w:sig w:usb0="A00002EF" w:usb1="4000004B" w:usb2="00000000" w:usb3="00000000" w:csb0="0000009F" w:csb1="00000000"/>
    <w:embedRegular r:id="rId4" w:fontKey="{3030803E-B590-478B-BBA0-4BA2B1F009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6AHB09"/>
    <w:docVar w:name="CoverBillType" w:val="b"/>
    <w:docVar w:name="docpath" w:val="L:\Council\bills\MS\7096AHB09.DOCX"/>
    <w:docVar w:name="dvBillNumber" w:val="316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5407</Characters>
  <Application>Microsoft Office Word</Application>
  <DocSecurity>0</DocSecurity>
  <Lines>45</Lines>
  <Paragraphs>12</Paragraphs>
  <ScaleCrop>false</ScaleCrop>
  <Company> </Company>
  <LinksUpToDate>false</LinksUpToDate>
  <CharactersWithSpaces>6343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2008-12-15T15:52:00Z</cp:lastPrinted>
  <dcterms:created xsi:type="dcterms:W3CDTF">2008-12-16T23:15:00Z</dcterms:created>
  <dcterms:modified xsi:type="dcterms:W3CDTF">2008-12-16T23:15:00Z</dcterms:modified>
</cp:coreProperties>
</file>