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59</w:t>
      </w:r>
      <w:r>
        <w:noBreakHyphen/>
        <w:t>40</w:t>
      </w:r>
      <w:r>
        <w:noBreakHyphen/>
        <w:t>50, AS AMENDED, CODE OF LAWS OF SOUTH CAROLINA, 1976, RELATING TO ADMISSION TO A CHARTER SCHOOL, SO AS TO PROVIDE THAT ENROLLMENT PRIORITY MAY BE GIVEN TO A SIBLING OF A PUPIL ALREADY ENROLLED IN THE CHARTER SCHOOL WHO HAS ATTENDED THE SCHOOL FOR ONE YEAR OR MORE.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59</w:t>
      </w:r>
      <w:r>
        <w:noBreakHyphen/>
        <w:t>40</w:t>
      </w:r>
      <w:r>
        <w:noBreakHyphen/>
        <w:t>50(B)(8) of the 1976 Code, as last amended by Act 239 of 2008, is further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“(8)</w:t>
      </w:r>
      <w:r>
        <w:tab/>
        <w:t xml:space="preserve">not limit or deny admission or show preference in admission decisions to any individual or group of individuals; however, a charter school may give enrollment priority to a sibling of a pupil already enrolled or previously enrolled </w:t>
      </w:r>
      <w:r>
        <w:rPr>
          <w:u w:val="single"/>
        </w:rPr>
        <w:t>for more than one year</w:t>
      </w:r>
      <w:r>
        <w:t>, children of a charter school employee, and children of the charter committee, if such priority enrollment does not constitute more than twenty percent of the enrollment of the charter school;”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5C2C6A-B54E-4E13-A525-49CC03430DBF}"/>
    <w:embedBold r:id="rId2" w:fontKey="{4DC2D375-0E34-4611-AA21-D9B10142C7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88BD86A-E6A9-4CCC-B55A-7521A64C7E8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BDFD6B2-4D4B-4B25-AAFA-085D81117C7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E826934-F68E-4E13-A519-9844A69385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33BB09"/>
    <w:docVar w:name="CoverBillType" w:val="b"/>
    <w:docVar w:name="docpath" w:val="L:\Council\bills\SWB\5633BB09.DOCX"/>
    <w:docVar w:name="dvBillNumber" w:val="3175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2008-12-08T16:33:00Z</cp:lastPrinted>
  <dcterms:created xsi:type="dcterms:W3CDTF">2008-12-16T23:16:00Z</dcterms:created>
  <dcterms:modified xsi:type="dcterms:W3CDTF">2008-12-16T23:16:00Z</dcterms:modified>
</cp:coreProperties>
</file>