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63</w:t>
      </w:r>
      <w:r>
        <w:noBreakHyphen/>
        <w:t>3</w:t>
      </w:r>
      <w:r>
        <w:noBreakHyphen/>
        <w:t>530, CODE OF LAWS OF SOUTH CAROLINA, 1976, RELATING TO JURISDICTION OF FAMILY COURT AND PROBATE COURT, SO AS TO PROVIDE FAMILY COURT HAS EXCLUSIVE JURISDICTION TO INTERPRET A PRENUPTIAL AGREEMENT, AND MAY APPROVE A PRENUPTIAL AGREEMENT PRIOR TO A MARRIAGE.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63</w:t>
      </w:r>
      <w:r>
        <w:noBreakHyphen/>
        <w:t>3</w:t>
      </w:r>
      <w:r>
        <w:noBreakHyphen/>
        <w:t>530(B) of the 1976 Code, as added by Act 361 of 2008,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  <w:t>Notwithstanding another provision of law, the family court and the probate court have concurrent jurisdiction to hear and determine matters relating to paternity, common</w:t>
      </w:r>
      <w:r>
        <w:noBreakHyphen/>
        <w:t xml:space="preserve">law marriage, and interpretation of marital agreements; except that the concurrent jurisdiction of the probate court extends only to matters dealing with the estate, trust, and guardianship and conservatorship actions before the probate court.  </w:t>
      </w:r>
      <w:r>
        <w:rPr>
          <w:u w:val="single"/>
        </w:rPr>
        <w:t>The family court has exclusive jurisdiction over interpretation of terms in a prenuptial agreement and may approve the validity of a prenuptial agreement before the subject marriage is formed.</w:t>
      </w:r>
      <w: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6BD033-11D1-49E7-8ED1-1A92DDDF718E}"/>
    <w:embedBold r:id="rId2" w:fontKey="{C91B42C9-E81F-49E8-A18B-5F9345F35C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EC94847-7376-4DD0-9D84-B9DACF05861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D5B0350-FCE1-4F60-BAD9-75E288D129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153AB09"/>
    <w:docVar w:name="CoverBillType" w:val="b"/>
    <w:docVar w:name="docpath" w:val="L:\Council\bills\GGS\22153AB09.DOCX"/>
    <w:docVar w:name="dvBillNumber" w:val="3190"/>
    <w:docVar w:name="dvBillNumberPrefix" w:val="H. "/>
    <w:docVar w:name="dvOriginalBody" w:val="House"/>
    <w:docVar w:name="dvSteno" w:val="GG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986</Characters>
  <Application>Microsoft Office Word</Application>
  <DocSecurity>0</DocSecurity>
  <Lines>8</Lines>
  <Paragraphs>2</Paragraphs>
  <ScaleCrop>false</ScaleCrop>
  <Company> 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cp:lastPrinted>2008-12-15T16:03:00Z</cp:lastPrinted>
  <dcterms:created xsi:type="dcterms:W3CDTF">2008-12-16T23:20:00Z</dcterms:created>
  <dcterms:modified xsi:type="dcterms:W3CDTF">2008-12-16T23:20:00Z</dcterms:modified>
</cp:coreProperties>
</file>