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1</w:t>
      </w:r>
      <w:r>
        <w:noBreakHyphen/>
        <w:t>235, CODE OF LAWS OF SOUTH CAROLINA, 1976, RELATING TO APPOINTMENT OF AN ATTORNEY IN A CIVIL ACTION, SO AS TO CLARIFY THAT THE PROHIBITION ON APPOINTMENT APPLIES TO CERTAIN POST</w:t>
      </w:r>
      <w:r>
        <w:noBreakHyphen/>
        <w:t>CONVICTION RELIEF MATTERS AND ACTIONS PURSUANT TO THE SEXUALLY VIOLENT PREDATOR ACT; AND TO AMEND SECTION 17</w:t>
      </w:r>
      <w:r>
        <w:noBreakHyphen/>
        <w:t>27</w:t>
      </w:r>
      <w:r>
        <w:noBreakHyphen/>
        <w:t>60, RELATING TO COURT COSTS AND EXPENSES FOR INDIGENTS, SO AS TO INCLUDE A REFERENCE TO THE PROHIBITION ON CIVIL APPOINTMENTS IN CERTAIN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Pr>
          <w:bCs/>
        </w:rPr>
        <w:t>Section 14</w:t>
      </w:r>
      <w:r>
        <w:rPr>
          <w:bCs/>
        </w:rPr>
        <w:noBreakHyphen/>
        <w:t>1</w:t>
      </w:r>
      <w:r>
        <w:rPr>
          <w:bCs/>
        </w:rPr>
        <w:noBreakHyphen/>
        <w:t xml:space="preserve">235 of the 1976 Code, as added by Act 19 of 2003,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t>“Section 14</w:t>
      </w:r>
      <w:r>
        <w:rPr>
          <w:bCs/>
        </w:rPr>
        <w:noBreakHyphen/>
        <w:t>1</w:t>
      </w:r>
      <w:r>
        <w:rPr>
          <w:bCs/>
        </w:rPr>
        <w:noBreakHyphen/>
        <w:t>235.</w:t>
      </w:r>
      <w:r>
        <w:rPr>
          <w:bCs/>
        </w:rPr>
        <w:tab/>
        <w:t xml:space="preserve">A judge, court, or court official shall not appoint an attorney to represent a party in a civil action </w:t>
      </w:r>
      <w:r>
        <w:rPr>
          <w:bCs/>
          <w:strike/>
        </w:rPr>
        <w:t>unless the authority to make the appointment is provided specifically by statute</w:t>
      </w:r>
      <w:r>
        <w:rPr>
          <w:bCs/>
        </w:rPr>
        <w:t xml:space="preserve"> </w:t>
      </w:r>
      <w:r>
        <w:rPr>
          <w:bCs/>
          <w:u w:val="single"/>
        </w:rPr>
        <w:t>including an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u w:val="single"/>
        </w:rPr>
        <w:t>(1)</w:t>
      </w:r>
      <w:r>
        <w:rPr>
          <w:bCs/>
        </w:rPr>
        <w:tab/>
      </w:r>
      <w:r>
        <w:rPr>
          <w:bCs/>
          <w:u w:val="single"/>
        </w:rPr>
        <w:t>for post</w:t>
      </w:r>
      <w:r>
        <w:rPr>
          <w:bCs/>
          <w:u w:val="single"/>
        </w:rPr>
        <w:noBreakHyphen/>
        <w:t>conviction relief except in a capital case pursuant to Section 17</w:t>
      </w:r>
      <w:r>
        <w:rPr>
          <w:bCs/>
          <w:u w:val="single"/>
        </w:rPr>
        <w:noBreakHyphen/>
        <w:t>27</w:t>
      </w:r>
      <w:r>
        <w:rPr>
          <w:bCs/>
          <w:u w:val="single"/>
        </w:rPr>
        <w:noBreakHyphen/>
        <w:t>160;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u w:val="single"/>
        </w:rPr>
        <w:t>(2)</w:t>
      </w:r>
      <w:r>
        <w:rPr>
          <w:bCs/>
        </w:rPr>
        <w:tab/>
      </w:r>
      <w:r>
        <w:rPr>
          <w:bCs/>
          <w:u w:val="single"/>
        </w:rPr>
        <w:t>pursuant to the Sexually Violent Predator Act as contained in Chapter 48, Title 44</w:t>
      </w:r>
      <w:r>
        <w:rPr>
          <w:bC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17</w:t>
      </w:r>
      <w:r>
        <w:rPr>
          <w:bCs/>
        </w:rPr>
        <w:noBreakHyphen/>
        <w:t>27</w:t>
      </w:r>
      <w:r>
        <w:rPr>
          <w:bCs/>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17</w:t>
      </w:r>
      <w:r>
        <w:rPr>
          <w:bCs/>
        </w:rPr>
        <w:noBreakHyphen/>
        <w:t>27</w:t>
      </w:r>
      <w:r>
        <w:rPr>
          <w:bCs/>
        </w:rPr>
        <w:noBreakHyphen/>
        <w:t>60.</w:t>
      </w:r>
      <w:r>
        <w:rPr>
          <w:bCs/>
        </w:rPr>
        <w:tab/>
      </w:r>
      <w:r>
        <w:rPr>
          <w:bCs/>
          <w:u w:val="single"/>
        </w:rPr>
        <w:t>(A)</w:t>
      </w:r>
      <w:r>
        <w:rPr>
          <w:bCs/>
        </w:rPr>
        <w:tab/>
        <w:t xml:space="preserve">If the applicant is unable to pay court costs and expenses of representation, including stenographic, </w:t>
      </w:r>
      <w:r>
        <w:rPr>
          <w:bCs/>
        </w:rPr>
        <w:lastRenderedPageBreak/>
        <w:t xml:space="preserve">printing and legal services, these costs and expenses </w:t>
      </w:r>
      <w:r>
        <w:rPr>
          <w:bCs/>
          <w:strike/>
        </w:rPr>
        <w:t>shall</w:t>
      </w:r>
      <w:r>
        <w:rPr>
          <w:bCs/>
        </w:rPr>
        <w:t xml:space="preserve"> </w:t>
      </w:r>
      <w:r>
        <w:rPr>
          <w:bCs/>
          <w:u w:val="single"/>
        </w:rPr>
        <w:t>must</w:t>
      </w:r>
      <w:r>
        <w:rPr>
          <w:bCs/>
        </w:rPr>
        <w:t xml:space="preserve"> be made available to the applicant in the trial court, and on review, in amounts and to the extent funds are made available to indigent defendants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u w:val="single"/>
        </w:rPr>
        <w:t>(B)</w:t>
      </w:r>
      <w:r>
        <w:rPr>
          <w:bCs/>
        </w:rPr>
        <w:tab/>
      </w:r>
      <w:r>
        <w:rPr>
          <w:bCs/>
          <w:u w:val="single"/>
        </w:rPr>
        <w:t>The provisions of this section may not be construed to allow the court to appoint an attorney in a civil action except as provided by Section 14</w:t>
      </w:r>
      <w:r>
        <w:rPr>
          <w:bCs/>
          <w:u w:val="single"/>
        </w:rPr>
        <w:noBreakHyphen/>
        <w:t>1</w:t>
      </w:r>
      <w:r>
        <w:rPr>
          <w:bCs/>
          <w:u w:val="single"/>
        </w:rPr>
        <w:noBreakHyphen/>
        <w:t>235.</w:t>
      </w:r>
      <w:r>
        <w:rPr>
          <w:bC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3.</w:t>
      </w:r>
      <w:r>
        <w:rPr>
          <w:bCs/>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3C2C9-D0DA-4397-87E8-8DD11999CA37}"/>
    <w:embedBold r:id="rId2" w:fontKey="{04AF63F7-8060-4E32-BDB9-6070958E1654}"/>
  </w:font>
  <w:font w:name="Calibri">
    <w:panose1 w:val="020F0502020204030204"/>
    <w:charset w:val="00"/>
    <w:family w:val="swiss"/>
    <w:pitch w:val="variable"/>
    <w:sig w:usb0="A00002EF" w:usb1="4000207B" w:usb2="00000000" w:usb3="00000000" w:csb0="0000009F" w:csb1="00000000"/>
    <w:embedRegular r:id="rId3" w:fontKey="{2A46E6D3-8403-41E6-A18E-DC58628FD60D}"/>
  </w:font>
  <w:font w:name="Cambria">
    <w:panose1 w:val="02040503050406030204"/>
    <w:charset w:val="00"/>
    <w:family w:val="roman"/>
    <w:pitch w:val="variable"/>
    <w:sig w:usb0="A00002EF" w:usb1="4000004B" w:usb2="00000000" w:usb3="00000000" w:csb0="0000009F" w:csb1="00000000"/>
    <w:embedRegular r:id="rId4" w:fontKey="{41D487C0-4D76-4FF1-8D1C-08A4A20C9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00AHB09"/>
    <w:docVar w:name="CoverBillType" w:val="b"/>
    <w:docVar w:name="docpath" w:val="L:\Council\bills\MS\7000AHB09.DOCX"/>
    <w:docVar w:name="dvBillNumber" w:val="324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2009-01-06T17:36:00Z</cp:lastPrinted>
  <dcterms:created xsi:type="dcterms:W3CDTF">2009-01-13T19:26:00Z</dcterms:created>
  <dcterms:modified xsi:type="dcterms:W3CDTF">2009-01-13T19:26:00Z</dcterms:modified>
</cp:coreProperties>
</file>