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THE SOUTH CAROLINA ATHLETIC COACHES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11</w:t>
      </w:r>
      <w:r>
        <w:noBreakHyphen/>
        <w:t>720(A) of the 1976 Code, as last amended by Act 353 of 2008, is further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South Carolina Athletic Coaches Association; except that for purposes of this item, only direct employees of the South Carolina Athletic Coaches Association are eligible to participate in the state health and dental insurance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7A2530-131C-4EFE-89A2-04D7AF613E4A}"/>
    <w:embedBold r:id="rId2" w:fontKey="{63E298F7-2043-4068-B442-CF1E26BB9163}"/>
  </w:font>
  <w:font w:name="Calibri">
    <w:panose1 w:val="020F0502020204030204"/>
    <w:charset w:val="00"/>
    <w:family w:val="swiss"/>
    <w:pitch w:val="variable"/>
    <w:sig w:usb0="A00002EF" w:usb1="4000207B" w:usb2="00000000" w:usb3="00000000" w:csb0="0000009F" w:csb1="00000000"/>
    <w:embedRegular r:id="rId3" w:fontKey="{9B3D80C9-3312-4387-B412-2A10DF2A2389}"/>
  </w:font>
  <w:font w:name="Cambria">
    <w:panose1 w:val="02040503050406030204"/>
    <w:charset w:val="00"/>
    <w:family w:val="roman"/>
    <w:pitch w:val="variable"/>
    <w:sig w:usb0="A00002EF" w:usb1="4000004B" w:usb2="00000000" w:usb3="00000000" w:csb0="0000009F" w:csb1="00000000"/>
    <w:embedRegular r:id="rId4" w:fontKey="{6A942084-C570-455E-A33E-3D6A59BB60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02BB09"/>
    <w:docVar w:name="CoverBillType" w:val="b"/>
    <w:docVar w:name="docpath" w:val="L:\Council\bills\NBD\11102BB09.DOCX"/>
    <w:docVar w:name="dvBillNumber" w:val="3246"/>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751</Characters>
  <Application>Microsoft Office Word</Application>
  <DocSecurity>0</DocSecurity>
  <Lines>6</Lines>
  <Paragraphs>1</Paragraphs>
  <ScaleCrop>false</ScaleCrop>
  <Company> </Company>
  <LinksUpToDate>false</LinksUpToDate>
  <CharactersWithSpaces>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2009-01-13T19:26:00Z</dcterms:created>
  <dcterms:modified xsi:type="dcterms:W3CDTF">2009-01-13T19:26:00Z</dcterms:modified>
</cp:coreProperties>
</file>