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6B4" w:rsidRDefault="00E146B4">
      <w:pPr>
        <w:pStyle w:val="BillDots"/>
      </w:pPr>
      <w:r>
        <w:rPr>
          <w:strike/>
        </w:rPr>
        <w:t>Indicates Matter Stricken</w:t>
      </w:r>
    </w:p>
    <w:p w:rsidR="00E146B4" w:rsidRPr="00E146B4" w:rsidRDefault="00E146B4">
      <w:pPr>
        <w:pStyle w:val="BillDots"/>
      </w:pPr>
      <w:r>
        <w:rPr>
          <w:u w:val="single"/>
        </w:rPr>
        <w:t>Indicates New Matter</w:t>
      </w:r>
    </w:p>
    <w:p w:rsidR="00E146B4" w:rsidRDefault="00E146B4">
      <w:pPr>
        <w:pStyle w:val="BillDots"/>
      </w:pPr>
    </w:p>
    <w:p w:rsidR="00723C4D" w:rsidRDefault="00723C4D">
      <w:pPr>
        <w:pStyle w:val="BillDots"/>
      </w:pPr>
      <w:r>
        <w:t>AMENDED</w:t>
      </w:r>
    </w:p>
    <w:p w:rsidR="00723C4D" w:rsidRDefault="00723C4D">
      <w:pPr>
        <w:pStyle w:val="BillDots"/>
      </w:pPr>
      <w:r>
        <w:t>April 2, 2009</w:t>
      </w:r>
    </w:p>
    <w:p w:rsidR="00723C4D" w:rsidRDefault="00723C4D">
      <w:pPr>
        <w:pStyle w:val="BillDots"/>
      </w:pPr>
    </w:p>
    <w:p w:rsidR="00723C4D" w:rsidRPr="00723C4D" w:rsidRDefault="00723C4D" w:rsidP="00723C4D">
      <w:pPr>
        <w:pStyle w:val="BillDots"/>
        <w:tabs>
          <w:tab w:val="clear" w:pos="216"/>
          <w:tab w:val="clear" w:pos="432"/>
          <w:tab w:val="clear" w:pos="648"/>
          <w:tab w:val="clear" w:pos="864"/>
          <w:tab w:val="clear" w:pos="1080"/>
          <w:tab w:val="clear" w:pos="1296"/>
          <w:tab w:val="clear" w:pos="5904"/>
          <w:tab w:val="right" w:pos="5933"/>
        </w:tabs>
      </w:pPr>
      <w:r>
        <w:tab/>
      </w:r>
      <w:r>
        <w:rPr>
          <w:b/>
          <w:sz w:val="36"/>
        </w:rPr>
        <w:t>H. 3272</w:t>
      </w:r>
    </w:p>
    <w:p w:rsidR="00723C4D" w:rsidRDefault="00723C4D">
      <w:pPr>
        <w:pStyle w:val="BillDots"/>
      </w:pPr>
    </w:p>
    <w:p w:rsidR="00723C4D" w:rsidRDefault="00723C4D">
      <w:pPr>
        <w:pStyle w:val="BillDots"/>
      </w:pPr>
      <w:r>
        <w:t>Introduced by Reps. Cooper, Merrill, Erickson, Herbkersman, Chalk, Duncan, Long, Sottile, Daning, Lowe, Bowen, Harrison, Horne, A.D. Young, Limehouse, R.L. Brown, Clemmons, Edge and Wylie</w:t>
      </w:r>
    </w:p>
    <w:p w:rsidR="00723C4D" w:rsidRDefault="00723C4D">
      <w:pPr>
        <w:pStyle w:val="BillDots"/>
      </w:pPr>
    </w:p>
    <w:p w:rsidR="00723C4D" w:rsidRDefault="00723C4D">
      <w:pPr>
        <w:pStyle w:val="BillDots"/>
      </w:pPr>
      <w:r>
        <w:t>S. Printed 4/2/09--H.</w:t>
      </w:r>
    </w:p>
    <w:p w:rsidR="00723C4D" w:rsidRDefault="00723C4D">
      <w:pPr>
        <w:pStyle w:val="BillDots"/>
      </w:pPr>
      <w:r>
        <w:t>Read the first time January 14, 2009.</w:t>
      </w:r>
    </w:p>
    <w:p w:rsidR="00723C4D" w:rsidRPr="00723C4D" w:rsidRDefault="00723C4D" w:rsidP="00723C4D">
      <w:pPr>
        <w:pStyle w:val="BillDots"/>
        <w:jc w:val="center"/>
      </w:pPr>
      <w:r>
        <w:rPr>
          <w:u w:val="single"/>
        </w:rPr>
        <w:t>            </w:t>
      </w:r>
    </w:p>
    <w:p w:rsidR="00723C4D" w:rsidRDefault="00723C4D">
      <w:pPr>
        <w:pStyle w:val="BillDots"/>
      </w:pPr>
    </w:p>
    <w:p w:rsidR="00E146B4" w:rsidRDefault="00E146B4">
      <w:pPr>
        <w:pStyle w:val="BillDots"/>
        <w:sectPr w:rsidR="00E146B4" w:rsidSect="00E146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339F" w:rsidRDefault="0050339F">
      <w:pPr>
        <w:pStyle w:val="BillDots"/>
      </w:pPr>
    </w:p>
    <w:p w:rsidR="0050339F" w:rsidRDefault="0050339F">
      <w:pPr>
        <w:pStyle w:val="Numbersforbill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3140, AS AMENDED, CODE OF LAWS OF SOUTH CAROLINA, 1976, RELATING TO DETERMINING THE FAIR MARKET VALUE OF REAL PROPERTY FOR PURPOSES OF THE SOUTH CAROLINA REAL PROPERTY VALUATION REFORM ACT, SO AS TO POSTPONE THE IMPLEMENTATION OF THE TRANSFER VALUE OF A PARCEL OF REAL PROPERTY UNIMPROVED SINCE THE LAST COUNTYWIDE REASSESSMENT PROGRAM UNTIL THE TIME OF IMPLEMENTATION OF THE NEXT COUNTYWIDE REASSESSMENT PROGRAM AND TO REQUIRE THE FIFTEEN PERCENT LIMIT ON INCREASES IN VALUE TO BE CALCULATED SEPARATELY ON LAND AND IMPROVEMENTS; TO AMEND SECTION 12</w:t>
      </w:r>
      <w:r>
        <w:noBreakHyphen/>
        <w:t>37</w:t>
      </w:r>
      <w:r>
        <w:noBreakHyphen/>
        <w:t>3150, AS AMENDED, RELATING TO THE TIME AN ASSESSABLE TRANSFER OF INTEREST OCCURS, SO AS TO REVISE THE PENALTY FOR FAILURE TO PROVIDE NOTICE OR FAILURE TO PROVIDE ACCURATE NOTICE TO THE ASSESSING AUTHORITY OF BUSINESS ENTITY TRANSFERS; TO AMEND SECTION 12</w:t>
      </w:r>
      <w:r>
        <w:noBreakHyphen/>
        <w:t>43</w:t>
      </w:r>
      <w:r>
        <w:noBreakHyphen/>
        <w:t>220, AS AMENDED, RELATING TO THE CLASSIFICATION AND VALUATION OF PROPERTY FOR PURPOSES OF THE PROPERTY TAX, SO AS TO PROVIDE RESIDENTIAL REAL PROPERTY HELD IN TRUST DOES NOT QUALIFY AS A LEGAL RESIDENCE UNLESS A NAMED INDIVIDUAL BENEFICIARY UNDER THE TRUST OCCUPIES THE RESIDENCE AS THAT NAMED BENEFICIARY’S LEGAL RESIDENCE AND THAT INDIVIDUAL BENEFICIARY’S NAME APPEARS ON THE DEED TO THE RESIDENCE AND REQUIRE SOCIAL SECURITY NUMBERS OF APPLICANTS FOR THE LEGAL RESIDENCE ASSESSMENT RATIO; AND TO AMEND SECTION 40</w:t>
      </w:r>
      <w:r>
        <w:noBreakHyphen/>
        <w:t>60</w:t>
      </w:r>
      <w:r>
        <w:noBreakHyphen/>
        <w:t xml:space="preserve">35, RELATING TO CONTINUING </w:t>
      </w:r>
      <w:r>
        <w:lastRenderedPageBreak/>
        <w:t>EDUCATION REQUIREMENTS FOR ASSESSORS, SO AS TO REVISE THE REQUIREMENT.</w:t>
      </w:r>
    </w:p>
    <w:p w:rsidR="00723C4D" w:rsidRDefault="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SECTION</w:t>
      </w:r>
      <w:r w:rsidRPr="0075335B">
        <w:tab/>
        <w:t>1.</w:t>
      </w:r>
      <w:r w:rsidRPr="0075335B">
        <w:tab/>
        <w:t>Section 12</w:t>
      </w:r>
      <w:r w:rsidRPr="0075335B">
        <w:noBreakHyphen/>
        <w:t>37</w:t>
      </w:r>
      <w:r w:rsidRPr="0075335B">
        <w:noBreakHyphen/>
        <w:t>3140 of the 1976 Code, as last amended by Act 57 of 2007, is further amended to read:</w:t>
      </w:r>
    </w:p>
    <w:p w:rsidR="00723C4D"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t>“Section 12</w:t>
      </w:r>
      <w:r w:rsidRPr="0075335B">
        <w:noBreakHyphen/>
        <w:t>37</w:t>
      </w:r>
      <w:r w:rsidRPr="0075335B">
        <w:noBreakHyphen/>
        <w:t>3140.</w:t>
      </w:r>
      <w:r w:rsidRPr="0075335B">
        <w:tab/>
        <w:t>(A)(1)</w:t>
      </w:r>
      <w:r w:rsidRPr="0075335B">
        <w:tab/>
        <w:t xml:space="preserve">For property tax years beginning after 2006, the fair market value of real property is its fair market value applicable for the later of: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r>
      <w:r w:rsidRPr="0075335B">
        <w:tab/>
      </w:r>
      <w:r w:rsidRPr="0075335B">
        <w:tab/>
        <w:t>(a)</w:t>
      </w:r>
      <w:r w:rsidRPr="0075335B">
        <w:tab/>
        <w:t xml:space="preserve">the base year, as defined in subsection (C) of this section;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r>
      <w:r w:rsidRPr="0075335B">
        <w:tab/>
      </w:r>
      <w:r w:rsidRPr="0075335B">
        <w:tab/>
        <w:t>(b)</w:t>
      </w:r>
      <w:r w:rsidRPr="0075335B">
        <w:tab/>
      </w:r>
      <w:r w:rsidRPr="0075335B">
        <w:rPr>
          <w:u w:val="single"/>
        </w:rPr>
        <w:t>subject to the provisions of item (3) of this subsection,</w:t>
      </w:r>
      <w:r w:rsidRPr="0075335B">
        <w:t xml:space="preserve"> December thirty</w:t>
      </w:r>
      <w:r w:rsidRPr="0075335B">
        <w:noBreakHyphen/>
        <w:t xml:space="preserve">first of the year in which an assessable transfer of interest has occurred;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r>
      <w:r w:rsidRPr="0075335B">
        <w:tab/>
      </w:r>
      <w:r w:rsidRPr="0075335B">
        <w:tab/>
        <w:t>(c)</w:t>
      </w:r>
      <w:r w:rsidRPr="0075335B">
        <w:tab/>
        <w:t xml:space="preserve">as determined on appeal;  or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r>
      <w:r w:rsidRPr="0075335B">
        <w:tab/>
      </w:r>
      <w:r w:rsidRPr="0075335B">
        <w:tab/>
        <w:t>(d)</w:t>
      </w:r>
      <w:r w:rsidRPr="0075335B">
        <w:tab/>
        <w:t>as it may be adjusted as determined in a countywide reassessment program conducted pursuant to Section 12</w:t>
      </w:r>
      <w:r w:rsidRPr="0075335B">
        <w:noBreakHyphen/>
        <w:t>43</w:t>
      </w:r>
      <w:r w:rsidRPr="0075335B">
        <w:noBreakHyphen/>
        <w:t xml:space="preserve">217, but limited to increases in such value as provided in subsection (B) of this section.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r>
      <w:r w:rsidRPr="0075335B">
        <w:tab/>
        <w:t>(2)</w:t>
      </w:r>
      <w:r w:rsidRPr="0075335B">
        <w:tab/>
        <w:t xml:space="preserve">To the fair market value of real property as determined at the time provided in item (1) of this subsection, there must be added the fair market value of subsequent improvements and additions to the property.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335B">
        <w:tab/>
      </w:r>
      <w:r w:rsidRPr="0075335B">
        <w:tab/>
      </w:r>
      <w:r w:rsidRPr="0075335B">
        <w:rPr>
          <w:u w:val="single"/>
        </w:rPr>
        <w:t>(3)</w:t>
      </w:r>
      <w:r w:rsidRPr="0075335B">
        <w:tab/>
      </w:r>
      <w:r w:rsidRPr="0075335B">
        <w:rPr>
          <w:u w:val="single"/>
        </w:rPr>
        <w:t>If a parcel of real property which has had no further improvement since the most recent countywide reassessment program was implemented undergoes an assessable transfer of interest, the implementation of the transfer value as determined pursuant to item (1)(b) of this subsection is postponed until the property tax year of implementation of the next countywide assessment program and that transfer value is the value to which the limit on increases in fair market value provided pursuant to subsection (B) of this section applies.</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t>(B)</w:t>
      </w:r>
      <w:r w:rsidRPr="0075335B">
        <w:tab/>
        <w:t>Any increase in the fair market value of real property attributable to the periodic countywide appraisal and equalization program implemented pursuant to Section 12</w:t>
      </w:r>
      <w:r w:rsidRPr="0075335B">
        <w:noBreakHyphen/>
        <w:t>43</w:t>
      </w:r>
      <w:r w:rsidRPr="0075335B">
        <w:noBreakHyphen/>
        <w:t xml:space="preserve">217 </w:t>
      </w:r>
      <w:r w:rsidRPr="0075335B">
        <w:rPr>
          <w:u w:val="single"/>
        </w:rPr>
        <w:t>or as implemented pursuant to subsection (A)(3) of this section</w:t>
      </w:r>
      <w:r w:rsidRPr="0075335B">
        <w:t xml:space="preserve"> is limited to fifteen percent within a five</w:t>
      </w:r>
      <w:r w:rsidRPr="0075335B">
        <w:noBreakHyphen/>
        <w:t xml:space="preserve">year period to the otherwise applicable fair market value.  </w:t>
      </w:r>
      <w:r w:rsidRPr="0075335B">
        <w:rPr>
          <w:u w:val="single"/>
        </w:rPr>
        <w:t>This limit must be calculated separately on land and improvements.</w:t>
      </w:r>
      <w:r w:rsidRPr="0075335B">
        <w:t xml:space="preserve">  However, this limit does not apply to the fair market value of additions or improvements to real property in the year those additions or improvements are first subject to property tax, nor </w:t>
      </w:r>
      <w:r w:rsidRPr="0075335B">
        <w:rPr>
          <w:strike/>
        </w:rPr>
        <w:t>do they</w:t>
      </w:r>
      <w:r w:rsidRPr="0075335B">
        <w:t xml:space="preserve"> </w:t>
      </w:r>
      <w:r w:rsidRPr="0075335B">
        <w:rPr>
          <w:u w:val="single"/>
        </w:rPr>
        <w:t>does the limit</w:t>
      </w:r>
      <w:r w:rsidRPr="0075335B">
        <w:t xml:space="preserve"> apply to the fair market value of real property when an assessable transfer of interest occurred in the year that the transfer value is first subject to tax.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t>(C)</w:t>
      </w:r>
      <w:r w:rsidRPr="0075335B">
        <w:tab/>
        <w:t xml:space="preserve">For purposes of determining a ‘base year’ fair market value pursuant to this section, the fair market value of real property is its appraised value applicable for property tax year 2007.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t>(D)</w:t>
      </w:r>
      <w:r w:rsidRPr="0075335B">
        <w:tab/>
        <w:t xml:space="preserve">Real property valued by the unit valuation concept is excluded from the limits provided pursuant to subsection (B) of this section. </w:t>
      </w:r>
    </w:p>
    <w:p w:rsidR="00723C4D" w:rsidRPr="0075335B"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335B">
        <w:tab/>
        <w:t>(E)</w:t>
      </w:r>
      <w:r w:rsidRPr="0075335B">
        <w:tab/>
        <w:t xml:space="preserve">Value attributable to additions and improvements, and changes in value resulting from assessable transfers of interest occurring in a property tax year are first subject to property tax in the following tax year except as provided pursuant to </w:t>
      </w:r>
      <w:r w:rsidRPr="0075335B">
        <w:rPr>
          <w:u w:val="single"/>
        </w:rPr>
        <w:t>subsection (A)(3) of this section and</w:t>
      </w:r>
      <w:r w:rsidRPr="0075335B">
        <w:t xml:space="preserve"> Section 12</w:t>
      </w:r>
      <w:r w:rsidRPr="0075335B">
        <w:noBreakHyphen/>
        <w:t>37</w:t>
      </w:r>
      <w:r w:rsidRPr="0075335B">
        <w:noBreakHyphen/>
        <w:t>670(B).”</w:t>
      </w:r>
    </w:p>
    <w:p w:rsidR="00723C4D"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723C4D" w:rsidP="0072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335B">
        <w:t>SECTION</w:t>
      </w:r>
      <w:r w:rsidRPr="0075335B">
        <w:tab/>
        <w:t>2.</w:t>
      </w:r>
      <w:r w:rsidRPr="0075335B">
        <w:tab/>
        <w:t>This act takes effect upon approval by the Governor and applies for property tax years beginning after 2008.</w:t>
      </w: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339F" w:rsidRDefault="0050339F" w:rsidP="00611FE8">
      <w:pPr>
        <w:suppressAutoHyphens/>
      </w:pPr>
    </w:p>
    <w:sectPr w:rsidR="0050339F" w:rsidSect="00E146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339F" w:rsidRDefault="00E146B4">
      <w:r>
        <w:separator/>
      </w:r>
    </w:p>
  </w:endnote>
  <w:endnote w:type="continuationSeparator" w:id="1">
    <w:p w:rsidR="0050339F" w:rsidRDefault="00E146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6E83E4-192F-4D9B-8E10-96F409651418}"/>
    <w:embedBold r:id="rId2" w:fontKey="{B84130AD-8493-4670-98D9-BFDCAAE88CD3}"/>
  </w:font>
  <w:font w:name="Calibri">
    <w:panose1 w:val="020F0502020204030204"/>
    <w:charset w:val="00"/>
    <w:family w:val="swiss"/>
    <w:pitch w:val="variable"/>
    <w:sig w:usb0="A00002EF" w:usb1="4000207B" w:usb2="00000000" w:usb3="00000000" w:csb0="0000009F" w:csb1="00000000"/>
    <w:embedRegular r:id="rId3" w:fontKey="{132A4DD1-20AA-46A3-BDD0-632AFC5761CC}"/>
  </w:font>
  <w:font w:name="Cambria">
    <w:panose1 w:val="02040503050406030204"/>
    <w:charset w:val="00"/>
    <w:family w:val="roman"/>
    <w:pitch w:val="variable"/>
    <w:sig w:usb0="A00002EF" w:usb1="4000004B" w:usb2="00000000" w:usb3="00000000" w:csb0="0000009F" w:csb1="00000000"/>
    <w:embedRegular r:id="rId4" w:fontKey="{F6A97705-F07B-488F-A546-06D4461E2E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39F" w:rsidRDefault="00E146B4">
    <w:pPr>
      <w:pStyle w:val="Footer"/>
      <w:tabs>
        <w:tab w:val="clear" w:pos="4680"/>
        <w:tab w:val="clear" w:pos="9360"/>
        <w:tab w:val="center" w:pos="2995"/>
      </w:tabs>
      <w:spacing w:before="120"/>
    </w:pPr>
    <w:r>
      <w:t>[3272-</w:t>
    </w:r>
    <w:fldSimple w:instr=" PAGE  \* MERGEFORMAT ">
      <w:r w:rsidR="00611FE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6B4" w:rsidRDefault="00E146B4">
    <w:pPr>
      <w:pStyle w:val="Footer"/>
      <w:tabs>
        <w:tab w:val="clear" w:pos="4680"/>
        <w:tab w:val="clear" w:pos="9360"/>
        <w:tab w:val="center" w:pos="2995"/>
      </w:tabs>
      <w:spacing w:before="120"/>
    </w:pPr>
    <w:r>
      <w:t>[3272]</w:t>
    </w:r>
    <w:r>
      <w:tab/>
    </w:r>
    <w:fldSimple w:instr=" PAGE  \* MERGEFORMAT ">
      <w:r w:rsidR="00611FE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339F" w:rsidRDefault="00E146B4">
      <w:r>
        <w:separator/>
      </w:r>
    </w:p>
  </w:footnote>
  <w:footnote w:type="continuationSeparator" w:id="1">
    <w:p w:rsidR="0050339F" w:rsidRDefault="00E146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50SD09"/>
    <w:docVar w:name="CoverBillType" w:val="b"/>
    <w:docVar w:name="docpath" w:val="L:\Council\bills\GJK\20050SD09.DOCX"/>
    <w:docVar w:name="dvBillNumber" w:val="3272"/>
    <w:docVar w:name="dvBillNumberPrefix" w:val="H. "/>
    <w:docVar w:name="dvOriginalBody" w:val="House"/>
    <w:docVar w:name="dvSteno" w:val="GJK"/>
    <w:docVar w:name="NameofBody" w:val="h"/>
    <w:docVar w:name="vgroup2" w:val="Council"/>
  </w:docVars>
  <w:rsids>
    <w:rsidRoot w:val="0050339F"/>
    <w:rsid w:val="0050339F"/>
    <w:rsid w:val="00611FE8"/>
    <w:rsid w:val="00723C4D"/>
    <w:rsid w:val="00797287"/>
    <w:rsid w:val="00E146B4"/>
    <w:rsid w:val="00E613EB"/>
    <w:rsid w:val="00F62B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39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0339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339F"/>
    <w:rPr>
      <w:rFonts w:eastAsia="Times New Roman" w:cs="Times New Roman"/>
      <w:b/>
      <w:sz w:val="30"/>
      <w:szCs w:val="20"/>
    </w:rPr>
  </w:style>
  <w:style w:type="paragraph" w:styleId="Header">
    <w:name w:val="header"/>
    <w:basedOn w:val="Normal"/>
    <w:link w:val="HeaderChar"/>
    <w:uiPriority w:val="99"/>
    <w:semiHidden/>
    <w:unhideWhenUsed/>
    <w:rsid w:val="0050339F"/>
    <w:pPr>
      <w:tabs>
        <w:tab w:val="center" w:pos="4320"/>
        <w:tab w:val="right" w:pos="8640"/>
      </w:tabs>
    </w:pPr>
  </w:style>
  <w:style w:type="character" w:customStyle="1" w:styleId="HeaderChar">
    <w:name w:val="Header Char"/>
    <w:basedOn w:val="DefaultParagraphFont"/>
    <w:link w:val="Header"/>
    <w:uiPriority w:val="99"/>
    <w:semiHidden/>
    <w:rsid w:val="0050339F"/>
    <w:rPr>
      <w:rFonts w:eastAsia="Times New Roman" w:cs="Times New Roman"/>
      <w:szCs w:val="20"/>
    </w:rPr>
  </w:style>
  <w:style w:type="paragraph" w:styleId="Footer">
    <w:name w:val="footer"/>
    <w:basedOn w:val="Normal"/>
    <w:link w:val="FooterChar"/>
    <w:uiPriority w:val="99"/>
    <w:unhideWhenUsed/>
    <w:rsid w:val="0050339F"/>
    <w:pPr>
      <w:tabs>
        <w:tab w:val="center" w:pos="4680"/>
        <w:tab w:val="right" w:pos="9360"/>
      </w:tabs>
    </w:pPr>
  </w:style>
  <w:style w:type="character" w:customStyle="1" w:styleId="FooterChar">
    <w:name w:val="Footer Char"/>
    <w:basedOn w:val="DefaultParagraphFont"/>
    <w:link w:val="Footer"/>
    <w:uiPriority w:val="99"/>
    <w:rsid w:val="0050339F"/>
    <w:rPr>
      <w:rFonts w:eastAsia="Times New Roman" w:cs="Times New Roman"/>
      <w:szCs w:val="20"/>
    </w:rPr>
  </w:style>
  <w:style w:type="character" w:styleId="PageNumber">
    <w:name w:val="page number"/>
    <w:basedOn w:val="DefaultParagraphFont"/>
    <w:uiPriority w:val="99"/>
    <w:semiHidden/>
    <w:unhideWhenUsed/>
    <w:rsid w:val="0050339F"/>
  </w:style>
  <w:style w:type="character" w:styleId="LineNumber">
    <w:name w:val="line number"/>
    <w:basedOn w:val="DefaultParagraphFont"/>
    <w:uiPriority w:val="99"/>
    <w:semiHidden/>
    <w:unhideWhenUsed/>
    <w:rsid w:val="0050339F"/>
  </w:style>
  <w:style w:type="paragraph" w:customStyle="1" w:styleId="BillDots">
    <w:name w:val="Bill Dots"/>
    <w:basedOn w:val="Normal"/>
    <w:qFormat/>
    <w:rsid w:val="0050339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0339F"/>
    <w:pPr>
      <w:tabs>
        <w:tab w:val="right" w:pos="5904"/>
      </w:tabs>
    </w:pPr>
  </w:style>
  <w:style w:type="character" w:styleId="FollowedHyperlink">
    <w:name w:val="FollowedHyperlink"/>
    <w:basedOn w:val="DefaultParagraphFont"/>
    <w:uiPriority w:val="99"/>
    <w:semiHidden/>
    <w:unhideWhenUsed/>
    <w:rsid w:val="00F62B5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796</Words>
  <Characters>4175</Characters>
  <Application>Microsoft Office Word</Application>
  <DocSecurity>0</DocSecurity>
  <Lines>126</Lines>
  <Paragraphs>31</Paragraphs>
  <ScaleCrop>false</ScaleCrop>
  <Company> </Company>
  <LinksUpToDate>false</LinksUpToDate>
  <CharactersWithSpaces>4940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2009-01-14T16:47:00Z</cp:lastPrinted>
  <dcterms:created xsi:type="dcterms:W3CDTF">2009-04-02T22:44:00Z</dcterms:created>
  <dcterms:modified xsi:type="dcterms:W3CDTF">2009-04-02T22:44:00Z</dcterms:modified>
</cp:coreProperties>
</file>