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47</w:t>
      </w:r>
      <w:r>
        <w:rPr>
          <w:color w:val="000000" w:themeColor="text1"/>
          <w:u w:color="000000" w:themeColor="text1"/>
        </w:rPr>
        <w:noBreakHyphen/>
        <w:t>5</w:t>
      </w:r>
      <w:r>
        <w:rPr>
          <w:color w:val="000000" w:themeColor="text1"/>
          <w:u w:color="000000" w:themeColor="text1"/>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w:t>
      </w:r>
      <w:r>
        <w:rPr>
          <w:color w:val="000000" w:themeColor="text1"/>
          <w:u w:color="000000" w:themeColor="text1"/>
        </w:rPr>
        <w:noBreakHyphen/>
        <w:t>5</w:t>
      </w:r>
      <w:r>
        <w:rPr>
          <w:color w:val="000000" w:themeColor="text1"/>
          <w:u w:color="000000" w:themeColor="text1"/>
        </w:rPr>
        <w:noBreakHyphen/>
        <w:t>60.</w:t>
      </w:r>
      <w:r>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w:t>
      </w:r>
      <w:r>
        <w:rPr>
          <w:color w:val="000000" w:themeColor="text1"/>
          <w:u w:val="single" w:color="000000" w:themeColor="text1"/>
        </w:rPr>
        <w:t>The rabies inoculation must be administered by a licensed veterinarian or someone under a licensed veterinarian’s direct supervision, as defined in Section 40</w:t>
      </w:r>
      <w:r>
        <w:rPr>
          <w:color w:val="000000" w:themeColor="text1"/>
          <w:u w:val="single" w:color="000000" w:themeColor="text1"/>
        </w:rPr>
        <w:noBreakHyphen/>
        <w:t>69</w:t>
      </w:r>
      <w:r>
        <w:rPr>
          <w:color w:val="000000" w:themeColor="text1"/>
          <w:u w:val="single" w:color="000000" w:themeColor="text1"/>
        </w:rPr>
        <w:noBreakHyphen/>
        <w:t>20.</w:t>
      </w:r>
      <w:r>
        <w:rPr>
          <w:color w:val="000000" w:themeColor="text1"/>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Pr>
          <w:color w:val="000000" w:themeColor="text1"/>
          <w:u w:val="single" w:color="000000" w:themeColor="text1"/>
        </w:rPr>
        <w:t>or supervising the administration of</w:t>
      </w:r>
      <w:r>
        <w:rPr>
          <w:color w:val="000000" w:themeColor="text1"/>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w:t>
      </w:r>
      <w:r>
        <w:rPr>
          <w:color w:val="000000" w:themeColor="text1"/>
          <w:u w:color="000000" w:themeColor="text1"/>
        </w:rPr>
        <w:lastRenderedPageBreak/>
        <w:t>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three dollars, including the cost of the vaccine, and this charge must be paid by the pet owner.  Fees collected by veterinarians at these clinics are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1A3A9E-71BC-42D1-888C-3A8895A27FF3}"/>
    <w:embedBold r:id="rId2" w:fontKey="{441899ED-D452-45B0-B615-2071360CCFB3}"/>
  </w:font>
  <w:font w:name="Calibri">
    <w:panose1 w:val="020F0502020204030204"/>
    <w:charset w:val="00"/>
    <w:family w:val="swiss"/>
    <w:pitch w:val="variable"/>
    <w:sig w:usb0="A00002EF" w:usb1="4000207B" w:usb2="00000000" w:usb3="00000000" w:csb0="0000009F" w:csb1="00000000"/>
    <w:embedRegular r:id="rId3" w:fontKey="{F25134A8-381A-4D70-A601-CC0B95094BF4}"/>
  </w:font>
  <w:font w:name="Cambria">
    <w:panose1 w:val="02040503050406030204"/>
    <w:charset w:val="00"/>
    <w:family w:val="roman"/>
    <w:pitch w:val="variable"/>
    <w:sig w:usb0="A00002EF" w:usb1="4000004B" w:usb2="00000000" w:usb3="00000000" w:csb0="0000009F" w:csb1="00000000"/>
    <w:embedRegular r:id="rId4" w:fontKey="{2BD6267C-311A-4DF6-AF6E-033D77140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2057</Characters>
  <Application>Microsoft Office Word</Application>
  <DocSecurity>0</DocSecurity>
  <Lines>17</Lines>
  <Paragraphs>4</Paragraphs>
  <ScaleCrop>false</ScaleCrop>
  <Company>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2009-01-28T19:36:00Z</dcterms:created>
  <dcterms:modified xsi:type="dcterms:W3CDTF">2009-01-28T19:36:00Z</dcterms:modified>
</cp:coreProperties>
</file>