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16</w:t>
      </w:r>
      <w:r>
        <w:noBreakHyphen/>
        <w:t>23</w:t>
      </w:r>
      <w:r>
        <w:noBreakHyphen/>
        <w:t>20, AS AMENDED, CODE OF LAWS OF SOUTH CAROLINA, 1976, RELATING TO THE CARRYING OF A HANDGUN, SO AS TO PROVIDE THAT A PERSON MAY LAWFULLY STOW A HANDGUN UNDER THE SEAT OF A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16</w:t>
      </w:r>
      <w:r>
        <w:noBreakHyphen/>
        <w:t>23</w:t>
      </w:r>
      <w:r>
        <w:noBreakHyphen/>
        <w:t>20(9)(a) of the 1976 Code, as last amended by Act 28 of 2007,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>secured in a closed glove compartment, closed console, closed trunk, or in a closed container secured by an integral fastener and transported in the luggage compartment of the vehicle</w:t>
      </w:r>
      <w:r>
        <w:rPr>
          <w:strike/>
        </w:rPr>
        <w:t>; however</w:t>
      </w:r>
      <w:r>
        <w:t xml:space="preserve">, </w:t>
      </w:r>
      <w:r>
        <w:rPr>
          <w:u w:val="single"/>
        </w:rPr>
        <w:t>or stowed under a seat.  However,</w:t>
      </w:r>
      <w:r>
        <w:t xml:space="preserve"> this item is not violated if the glove compartment, console, or trunk is opened in the presence of a law enforcement officer for the sole purpose of retrieving a driver’s license, registration, or proof of insurance; or”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B1DFE6-5442-4AB2-997B-4C885643FC31}"/>
    <w:embedBold r:id="rId2" w:fontKey="{D881A5B1-EE5B-4B0D-B216-567B37D1B8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CBD06F-467B-44D6-A9C9-24A8948257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19945E-5063-48BF-9EB8-DDFE5EEE85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B9931E-38CC-4119-AE3F-D791779435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7CM09"/>
    <w:docVar w:name="CoverBillType" w:val="b"/>
    <w:docVar w:name="docpath" w:val="L:\Council\bills\SWB\5637CM09.DOCX"/>
    <w:docVar w:name="dvBillNumber" w:val="3298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Company> 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2009-01-15T13:40:00Z</cp:lastPrinted>
  <dcterms:created xsi:type="dcterms:W3CDTF">2009-01-15T15:44:00Z</dcterms:created>
  <dcterms:modified xsi:type="dcterms:W3CDTF">2009-01-15T15:44:00Z</dcterms:modified>
</cp:coreProperties>
</file>