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615 SO AS TO IMPOSE A ONE</w:t>
      </w:r>
      <w:r>
        <w:rPr>
          <w:rFonts w:eastAsia="Times New Roman" w:cs="Times New Roman"/>
          <w:szCs w:val="20"/>
        </w:rPr>
        <w:noBreakHyphen/>
        <w:t>DOLLAR SURCHARGE ON A SALE OF A SECURITY BY A BROKER</w:t>
      </w:r>
      <w:r>
        <w:rPr>
          <w:rFonts w:eastAsia="Times New Roman" w:cs="Times New Roman"/>
          <w:szCs w:val="20"/>
        </w:rPr>
        <w:noBreakHyphen/>
        <w:t>DEALER REGISTERED IN THIS STATE, AND TO PROVIDE THAT THE MONIES DERIVED FROM THE SURCHARGE BE DEPOSITED IN THE GENERAL FUND.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6, Chapter 1, Title 35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615.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A broker</w:t>
      </w:r>
      <w:r>
        <w:rPr>
          <w:rFonts w:eastAsia="Times New Roman" w:cs="Times New Roman"/>
          <w:szCs w:val="20"/>
        </w:rPr>
        <w:noBreakHyphen/>
        <w:t>dealer or agent required to be registered pursuant to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410 must collect a surcharge of one dollar in connection with a sale of a security as defined in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20(13).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The monies collected pursuant to subsection (A) must be reported to the securities commissioner on a quarterly return and must be remitted at the end of each reporting period by the commissioner to the State Treasurer for deposit to the credit of the general fund.”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 and applies to the sale of a security occurring on or after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39DB19-E83A-41C6-B040-E5EB3FDEA947}"/>
    <w:embedBold r:id="rId2" w:fontKey="{18A7234A-0DBA-48B7-BFCD-23AAEDA8BF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3AF2CB-46E8-4C9E-9B39-39F50411ED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1471C58-7216-4C3B-81CB-6DF079A35F8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AEB8DE-3B93-4907-A739-53C04FB754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924</Characters>
  <Application>Microsoft Office Word</Application>
  <DocSecurity>0</DocSecurity>
  <Lines>7</Lines>
  <Paragraphs>2</Paragraphs>
  <ScaleCrop>false</ScaleCrop>
  <Company>Project Management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2008-12-10T19:25:00Z</dcterms:created>
  <dcterms:modified xsi:type="dcterms:W3CDTF">2008-12-10T19:25:00Z</dcterms:modified>
</cp:coreProperties>
</file>