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59</w:t>
      </w:r>
      <w:r>
        <w:noBreakHyphen/>
        <w:t>1</w:t>
      </w:r>
      <w:r>
        <w:noBreakHyphen/>
        <w:t>400, CODE OF LAWS OF SOUTH CAROLINA, 1976, RELATING TO SICK LEAVE FOR FULL</w:t>
      </w:r>
      <w:r>
        <w:noBreakHyphen/>
        <w:t>TIME PUBLIC SCHOOL EMPLOYEES, SO AS TO PROVIDE THAT SUCH EMPLOYEES WHO ARE REEMPLOYED RETIREES OF THE SOUTH CAROLINA RETIREMENT SYSTEM ACCRUE AND CARRY FORWARD SICK LEAVE AT THE SAME RATE AND IN THE SAME MANNER AS ANY OTHER PERSON EMPLOYED BY THE DISTRICT IN A POSITION REQUIRING CERTIFICATION, AND TO PROVIDE THAT A DISTRICT MAY NOT MAKE A LUMP SUM PAYMENT FOR UNUSED SICK LEAVE ACCRUED BY THESE EMPLOYEES.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59</w:t>
      </w:r>
      <w:r>
        <w:noBreakHyphen/>
        <w:t>1</w:t>
      </w:r>
      <w:r>
        <w:noBreakHyphen/>
        <w:t>400(A) of the 1976 Code is amended by adding a new paragraph at the end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 full</w:t>
      </w:r>
      <w:r>
        <w:noBreakHyphen/>
        <w:t>time employee of a public school who is a reemployed retiree of the South Carolina Retirement System (SCRS) shall accrue and carry forward sick leave at the same rate and in the same manner as a full</w:t>
      </w:r>
      <w:r>
        <w:noBreakHyphen/>
        <w:t>time employee of the district who is not a SCRS retiree.  A district may not make a lump sum or other payment however described for unused sick leave to a full</w:t>
      </w:r>
      <w:r>
        <w:noBreakHyphen/>
        <w:t>time employee who, while employed by the district, received a service retirement benefit from SCRS.”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July 1, 2009, and applies for sick leave accrued pursuant to employment contracts entered into after June 30, 2009.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959A397-8BEF-45A0-A0B1-DB18127B370A}"/>
    <w:embedBold r:id="rId2" w:fontKey="{58272ACF-0796-49A5-B40C-979B01F44830}"/>
  </w:font>
  <w:font w:name="Calibri">
    <w:panose1 w:val="020F0502020204030204"/>
    <w:charset w:val="00"/>
    <w:family w:val="swiss"/>
    <w:pitch w:val="variable"/>
    <w:sig w:usb0="A00002EF" w:usb1="4000207B" w:usb2="00000000" w:usb3="00000000" w:csb0="0000009F" w:csb1="00000000"/>
    <w:embedRegular r:id="rId3" w:fontKey="{FFD1FDB5-7662-4568-9DFF-7D6D72ED7716}"/>
  </w:font>
  <w:font w:name="Tahoma">
    <w:panose1 w:val="020B0604030504040204"/>
    <w:charset w:val="00"/>
    <w:family w:val="swiss"/>
    <w:pitch w:val="variable"/>
    <w:sig w:usb0="61002A87" w:usb1="80000000" w:usb2="00000008" w:usb3="00000000" w:csb0="000101FF" w:csb1="00000000"/>
    <w:embedRegular r:id="rId4" w:fontKey="{4CD927B9-89F8-4A89-AE4E-5564FAD6E864}"/>
  </w:font>
  <w:font w:name="Cambria">
    <w:panose1 w:val="02040503050406030204"/>
    <w:charset w:val="00"/>
    <w:family w:val="roman"/>
    <w:pitch w:val="variable"/>
    <w:sig w:usb0="A00002EF" w:usb1="4000004B" w:usb2="00000000" w:usb3="00000000" w:csb0="0000009F" w:csb1="00000000"/>
    <w:embedRegular r:id="rId5" w:fontKey="{DB556976-3838-4C31-967B-A12EC104B99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[3300]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126BH09"/>
    <w:docVar w:name="CoverBillType" w:val="b"/>
    <w:docVar w:name="docpath" w:val="L:\Council\bills\NBD\11126BH09.DOCX"/>
    <w:docVar w:name="dvBillNumber" w:val="3300"/>
    <w:docVar w:name="dvBillNumberPrefix" w:val="H. "/>
    <w:docVar w:name="dvOriginalBody" w:val="House"/>
    <w:docVar w:name="dvSteno" w:val="NBD"/>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198</Words>
  <Characters>1133</Characters>
  <Application>Microsoft Office Word</Application>
  <DocSecurity>0</DocSecurity>
  <Lines>9</Lines>
  <Paragraphs>2</Paragraphs>
  <ScaleCrop>false</ScaleCrop>
  <Company> </Company>
  <LinksUpToDate>false</LinksUpToDate>
  <CharactersWithSpaces>1329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2009-01-15T14:04:00Z</cp:lastPrinted>
  <dcterms:created xsi:type="dcterms:W3CDTF">2009-01-15T16:33:00Z</dcterms:created>
  <dcterms:modified xsi:type="dcterms:W3CDTF">2009-01-15T16:33:00Z</dcterms:modified>
</cp:coreProperties>
</file>