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SUBARTICLE 8 TO ARTICLE 1, CHAPTER 9, TITLE 63 SO AS TO ESTABLISH THE RESPONSIBLE FATHER REGISTRY WITHIN THE DEPARTMENT OF SOCIAL SERVICES AND TO PROVIDE THAT A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noBreakHyphen/>
        <w:t>9</w:t>
      </w:r>
      <w:r>
        <w:noBreakHyphen/>
        <w:t>730, RELATING TO PERSONS AND ENTITIES ENTITLED TO NOTICE OF TERMINATION OF PARENTAL RIGHTS ACTIONS AND ADOPTION ACTIONS, SO AS TO INCLUDE A PERSON WHO HAS REGISTERED WITH THE RESPONSIBLE FATHER REGISTRY; TO AMEND SECTION 63</w:t>
      </w:r>
      <w:r>
        <w:noBreakHyphen/>
        <w:t>7</w:t>
      </w:r>
      <w: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lastRenderedPageBreak/>
        <w:t>AMEND SECTION 63</w:t>
      </w:r>
      <w:r>
        <w:noBreakHyphen/>
        <w:t>7</w:t>
      </w:r>
      <w: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 Chapter 9,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Responsible Father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810.</w:t>
      </w:r>
      <w:r>
        <w:rPr>
          <w:rFonts w:eastAsiaTheme="minorHAnsi"/>
          <w:color w:val="000000" w:themeColor="text1"/>
          <w:szCs w:val="22"/>
          <w:u w:color="000000" w:themeColor="text1"/>
        </w:rPr>
        <w:tab/>
      </w:r>
      <w:r>
        <w:rPr>
          <w:rFonts w:eastAsiaTheme="minorHAnsi"/>
          <w:color w:val="000000" w:themeColor="text1"/>
          <w:szCs w:val="22"/>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820.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established within the Department of Social Services the Responsible Father Registry, which the department shall maintain.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‘Department’ means the Department of Social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‘Registrant’ means an unmarried biological father or a male who claims to be the unmarried biological father of a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‘Registry’ means the Responsible Father Registry as established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‘Unmarried biological father’ means a male who is not married to the biological mother of a child of whom he is or claims to be the natural father.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Except as set forth in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730(B), in order to preserve the right to notice of an adoption proceeding or the right </w:t>
      </w:r>
      <w:r>
        <w:rPr>
          <w:rFonts w:eastAsiaTheme="minorHAnsi"/>
          <w:color w:val="000000" w:themeColor="text1"/>
          <w:szCs w:val="22"/>
          <w:u w:color="000000" w:themeColor="text1"/>
        </w:rPr>
        <w:lastRenderedPageBreak/>
        <w:t>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Except for a person who is required to receive notice pursuant to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730(B), an unmarried biological father’s failure to file a claim of paternity with the registry constitutes implied irrevocable consent to the termination of his parental rights and to the child’s adoption.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claim of paternity must be signed by the registrant and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registrant’s name, address, and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mother’s name and, if known, her address and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known, the child’s name, place of birth, and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known, the date, county, and state of conception of the 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date the claim is filed.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department shall issue a certificate to the registrant verifying that the claim of paternity, revocation, or change of address has been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No fee may be charged for filing a claim of paternity, a revocation, or a change of address with the registry.  The department may charge a reasonable fee for processing searches of the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(J)</w:t>
      </w:r>
      <w:r>
        <w:rPr>
          <w:rFonts w:eastAsiaTheme="minorHAnsi"/>
          <w:color w:val="000000" w:themeColor="text1"/>
          <w:szCs w:val="22"/>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Except as set forth in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An unmarried biological father’s failure to file a claim of paternity with the registry is deemed to be a lack of proper diligence under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(M)(1)</w:t>
      </w:r>
      <w:r>
        <w:rPr>
          <w:rFonts w:eastAsiaTheme="minorHAnsi"/>
          <w:color w:val="000000" w:themeColor="text1"/>
          <w:szCs w:val="22"/>
          <w:u w:color="000000" w:themeColor="text1"/>
        </w:rPr>
        <w:tab/>
        <w:t>The registry is not available for public inspection and is not subject to disclosure under the Freedom of Information Act pursuant to Chapter 4, Title 30 except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department shall disclose the contents of the registry upon order of a court of competent jurisdiction for good cause shown;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file a written request with the registry regarding a child for whom the department has an open case for child welfare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 </w:t>
      </w:r>
      <w:r>
        <w:rPr>
          <w:rFonts w:eastAsiaTheme="minorHAnsi"/>
          <w:color w:val="000000" w:themeColor="text1"/>
          <w:szCs w:val="22"/>
          <w:u w:color="000000" w:themeColor="text1"/>
        </w:rPr>
        <w:tab/>
        <w:t>the mother’s name and, if known, her address and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if known, the child’s date of birth and place of birth;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if known, the date, county, and state of conception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(O)</w:t>
      </w:r>
      <w:r>
        <w:rPr>
          <w:rFonts w:eastAsiaTheme="minorHAnsi"/>
          <w:color w:val="000000" w:themeColor="text1"/>
          <w:szCs w:val="22"/>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w:t>
      </w:r>
      <w:r>
        <w:rPr>
          <w:rFonts w:eastAsiaTheme="minorHAnsi"/>
          <w:color w:val="000000" w:themeColor="text1"/>
          <w:szCs w:val="22"/>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(Q)</w:t>
      </w:r>
      <w:r>
        <w:rPr>
          <w:rFonts w:eastAsiaTheme="minorHAnsi"/>
          <w:color w:val="000000" w:themeColor="text1"/>
          <w:szCs w:val="22"/>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(R)(1)</w:t>
      </w:r>
      <w:r>
        <w:rPr>
          <w:rFonts w:eastAsiaTheme="minorHAnsi"/>
          <w:color w:val="000000" w:themeColor="text1"/>
          <w:szCs w:val="22"/>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730(B)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heme="minorHAnsi"/>
          <w:color w:val="000000" w:themeColor="text1"/>
          <w:szCs w:val="22"/>
          <w:u w:color="000000" w:themeColor="text1"/>
        </w:rPr>
        <w:tab/>
        <w:t>“(B)</w:t>
      </w:r>
      <w:r>
        <w:rPr>
          <w:color w:val="000000"/>
        </w:rPr>
        <w:tab/>
        <w:t xml:space="preserve">The following persons or agencies are entitled to notice as provided in subsection (A) </w:t>
      </w:r>
      <w:r>
        <w:rPr>
          <w:strike/>
          <w:color w:val="000000"/>
        </w:rPr>
        <w:t>of this section</w:t>
      </w:r>
      <w:r>
        <w:rPr>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Pr>
          <w:strike/>
          <w:color w:val="000000"/>
        </w:rPr>
        <w:t>any</w:t>
      </w:r>
      <w:r>
        <w:rPr>
          <w:color w:val="000000"/>
        </w:rPr>
        <w:t xml:space="preserve"> </w:t>
      </w:r>
      <w:r>
        <w:rPr>
          <w:color w:val="000000"/>
          <w:u w:val="single"/>
        </w:rPr>
        <w:t>a</w:t>
      </w:r>
      <w:r>
        <w:rPr>
          <w:color w:val="000000"/>
        </w:rPr>
        <w:t xml:space="preserve"> person adjudicated by a court in this State to be the father of the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Pr>
          <w:strike/>
          <w:color w:val="000000"/>
        </w:rPr>
        <w:t>any</w:t>
      </w:r>
      <w:r>
        <w:rPr>
          <w:color w:val="000000"/>
        </w:rPr>
        <w:t xml:space="preserve"> </w:t>
      </w:r>
      <w:r>
        <w:rPr>
          <w:color w:val="000000"/>
          <w:u w:val="single"/>
        </w:rPr>
        <w:t>a</w:t>
      </w:r>
      <w:r>
        <w:rPr>
          <w:color w:val="000000"/>
        </w:rPr>
        <w:t xml:space="preserve"> person or agency required to give consent or relinquishment pursuant to </w:t>
      </w:r>
      <w:r>
        <w:rPr>
          <w:strike/>
          <w:color w:val="000000"/>
        </w:rPr>
        <w:t>subsections (A) or (B) of</w:t>
      </w:r>
      <w:r>
        <w:rPr>
          <w:color w:val="000000"/>
        </w:rPr>
        <w:t xml:space="preserve"> Section 63</w:t>
      </w:r>
      <w:r>
        <w:rPr>
          <w:color w:val="000000"/>
        </w:rPr>
        <w:noBreakHyphen/>
        <w:t>9</w:t>
      </w:r>
      <w:r>
        <w:rPr>
          <w:color w:val="000000"/>
        </w:rPr>
        <w:noBreakHyphen/>
        <w:t>310</w:t>
      </w:r>
      <w:r>
        <w:rPr>
          <w:color w:val="000000"/>
          <w:u w:val="single"/>
        </w:rPr>
        <w:t>(A) or (B)</w:t>
      </w:r>
      <w:r>
        <w:rPr>
          <w:color w:val="000000"/>
        </w:rPr>
        <w:t xml:space="preserve"> from whom consent or relinquishment cannot be obtained;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Pr>
          <w:strike/>
          <w:color w:val="000000"/>
        </w:rPr>
        <w:t>the father of the child whose consent or relinquishment is not required pursuant to items (4) or (5) of subsection (A) of Section 63</w:t>
      </w:r>
      <w:r>
        <w:rPr>
          <w:strike/>
          <w:color w:val="000000"/>
        </w:rPr>
        <w:noBreakHyphen/>
        <w:t>9</w:t>
      </w:r>
      <w:r>
        <w:rPr>
          <w:strike/>
          <w:color w:val="000000"/>
        </w:rPr>
        <w:noBreakHyphen/>
        <w:t>310</w:t>
      </w:r>
      <w:r>
        <w:rPr>
          <w:color w:val="000000"/>
        </w:rPr>
        <w:t xml:space="preserve"> </w:t>
      </w:r>
      <w:r>
        <w:rPr>
          <w:color w:val="000000"/>
          <w:u w:val="single"/>
        </w:rPr>
        <w:t>a person who has properly registered with the Responsible Father Registry at the time of the filing of the petition for termination of parental rights or adoption</w:t>
      </w:r>
      <w:r>
        <w:rPr>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Pr>
          <w:strike/>
          <w:color w:val="000000"/>
        </w:rPr>
        <w:t>any</w:t>
      </w:r>
      <w:r>
        <w:rPr>
          <w:color w:val="000000"/>
        </w:rPr>
        <w:t xml:space="preserve"> </w:t>
      </w:r>
      <w:r>
        <w:rPr>
          <w:color w:val="000000"/>
          <w:u w:val="single"/>
        </w:rPr>
        <w:t>a</w:t>
      </w:r>
      <w:r>
        <w:rPr>
          <w:color w:val="000000"/>
        </w:rPr>
        <w:t xml:space="preserve"> person who is recorded on the child’s birth certificate as the child’s father</w:t>
      </w:r>
      <w:r>
        <w:rPr>
          <w:color w:val="000000"/>
          <w:u w:val="single"/>
        </w:rPr>
        <w:t>. The Department of Health and Environmental Control shall release this information to any attorney representing a party in an adoption or termination of parental rights action</w:t>
      </w:r>
      <w:r>
        <w:rPr>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Pr>
          <w:strike/>
          <w:color w:val="000000"/>
        </w:rPr>
        <w:t>any</w:t>
      </w:r>
      <w:r>
        <w:rPr>
          <w:color w:val="000000"/>
        </w:rPr>
        <w:t xml:space="preserve"> </w:t>
      </w:r>
      <w:r>
        <w:rPr>
          <w:color w:val="000000"/>
          <w:u w:val="single"/>
        </w:rPr>
        <w:t>a</w:t>
      </w:r>
      <w:r>
        <w:rPr>
          <w:color w:val="000000"/>
        </w:rPr>
        <w:t xml:space="preserve"> person who is openly living with the child or the child’s mother, or both, at the time the </w:t>
      </w:r>
      <w:r>
        <w:rPr>
          <w:strike/>
          <w:color w:val="000000"/>
        </w:rPr>
        <w:t>adoption</w:t>
      </w:r>
      <w:r>
        <w:rPr>
          <w:color w:val="000000"/>
        </w:rPr>
        <w:t xml:space="preserve"> proceeding is initiated</w:t>
      </w:r>
      <w:r>
        <w:rPr>
          <w:strike/>
          <w:color w:val="000000"/>
        </w:rPr>
        <w:t>,</w:t>
      </w:r>
      <w:r>
        <w:rPr>
          <w:color w:val="000000"/>
        </w:rPr>
        <w:t xml:space="preserve"> and who is holding himself out to be the child’s father;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Pr>
          <w:strike/>
          <w:color w:val="000000"/>
        </w:rPr>
        <w:t>any</w:t>
      </w:r>
      <w:r>
        <w:rPr>
          <w:color w:val="000000"/>
        </w:rPr>
        <w:t xml:space="preserve"> </w:t>
      </w:r>
      <w:r>
        <w:rPr>
          <w:color w:val="000000"/>
          <w:u w:val="single"/>
        </w:rPr>
        <w:t>a</w:t>
      </w:r>
      <w:r>
        <w:rPr>
          <w:color w:val="000000"/>
        </w:rPr>
        <w:t xml:space="preserve"> person who has been identified as the child’s father by the mother in a sworn, written statement;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Pr>
          <w:strike/>
          <w:color w:val="000000"/>
        </w:rPr>
        <w:t>any</w:t>
      </w:r>
      <w:r>
        <w:rPr>
          <w:color w:val="000000"/>
        </w:rPr>
        <w:t xml:space="preserve"> </w:t>
      </w:r>
      <w:r>
        <w:rPr>
          <w:color w:val="000000"/>
          <w:u w:val="single"/>
        </w:rPr>
        <w:t>a</w:t>
      </w:r>
      <w:r>
        <w:rPr>
          <w:color w:val="000000"/>
        </w:rPr>
        <w:t xml:space="preserve"> person from whom consent or relinquishment is not required pursuant to </w:t>
      </w:r>
      <w:r>
        <w:rPr>
          <w:strike/>
          <w:color w:val="000000"/>
        </w:rPr>
        <w:t>item (2) of subsection (A) of</w:t>
      </w:r>
      <w:r>
        <w:rPr>
          <w:color w:val="000000"/>
        </w:rPr>
        <w:t xml:space="preserve"> Section 63</w:t>
      </w:r>
      <w:r>
        <w:rPr>
          <w:color w:val="000000"/>
        </w:rPr>
        <w:noBreakHyphen/>
        <w:t>9</w:t>
      </w:r>
      <w:r>
        <w:rPr>
          <w:color w:val="000000"/>
        </w:rPr>
        <w:noBreakHyphen/>
        <w:t>320</w:t>
      </w:r>
      <w:r>
        <w:rPr>
          <w:color w:val="000000"/>
          <w:u w:val="single"/>
        </w:rPr>
        <w:t>(A)(2)</w:t>
      </w:r>
      <w:r>
        <w:rPr>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rPr>
        <w:t>SECTION</w:t>
      </w:r>
      <w:r>
        <w:rPr>
          <w:color w:val="000000"/>
        </w:rPr>
        <w:tab/>
        <w:t>3.</w:t>
      </w:r>
      <w:r>
        <w:rPr>
          <w:color w:val="000000"/>
        </w:rPr>
        <w:tab/>
        <w:t>Section 63</w:t>
      </w:r>
      <w:r>
        <w:rPr>
          <w:color w:val="000000"/>
        </w:rPr>
        <w:noBreakHyphen/>
        <w:t>7</w:t>
      </w:r>
      <w:r>
        <w:rPr>
          <w:color w:val="000000"/>
        </w:rPr>
        <w:noBreakHyphen/>
        <w:t>2530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2530.</w:t>
      </w:r>
      <w:r>
        <w:rPr>
          <w:rFonts w:eastAsiaTheme="minorHAnsi"/>
          <w:color w:val="000000" w:themeColor="text1"/>
          <w:szCs w:val="22"/>
          <w:u w:color="000000" w:themeColor="text1"/>
        </w:rPr>
        <w:tab/>
      </w:r>
      <w:r>
        <w:rPr>
          <w:color w:val="000000"/>
        </w:rPr>
        <w:t>(A)</w:t>
      </w:r>
      <w:r>
        <w:rPr>
          <w:color w:val="000000"/>
        </w:rPr>
        <w:tab/>
        <w:t xml:space="preserve">A petition seeking termination of parental rights may be filed by the Department of Social Services or any interested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rPr>
        <w:tab/>
        <w:t>(B)</w:t>
      </w:r>
      <w:r>
        <w:rPr>
          <w:color w:val="000000"/>
        </w:rPr>
        <w:tab/>
        <w:t>The department may file an action for termination of parental rights without first seeking the court’s approval of a change in the permanency plan pursuant to Section 63</w:t>
      </w:r>
      <w:r>
        <w:rPr>
          <w:color w:val="000000"/>
        </w:rPr>
        <w:noBreakHyphen/>
        <w:t>7</w:t>
      </w:r>
      <w:r>
        <w:rPr>
          <w:color w:val="000000"/>
        </w:rPr>
        <w:noBreakHyphen/>
        <w:t>1680 and without first seeking an amendment of the placement plan pursuant to Section 63</w:t>
      </w:r>
      <w:r>
        <w:rPr>
          <w:color w:val="000000"/>
        </w:rPr>
        <w:noBreakHyphen/>
        <w:t>7</w:t>
      </w:r>
      <w:r>
        <w:rPr>
          <w:color w:val="000000"/>
        </w:rPr>
        <w:noBreakHyphen/>
        <w:t xml:space="preserve">1700.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hearing on the petition to terminate parental rights must be held within one hundred twenty days of the date the </w:t>
      </w:r>
      <w:r>
        <w:rPr>
          <w:rFonts w:eastAsiaTheme="minorHAnsi"/>
          <w:color w:val="000000" w:themeColor="text1"/>
          <w:szCs w:val="22"/>
          <w:u w:val="single" w:color="000000" w:themeColor="text1"/>
        </w:rPr>
        <w:lastRenderedPageBreak/>
        <w:t>termination of parental rights petition is filed.  A party may request a continuance that would result in the hearing being held more than one hundred twenty days after the petition was filed; however, the court may only grant the continuance if exceptional circumstances exist.  If a continuance is granted, the court must issue a written order stating the exceptional circumstances and scheduling the case for trial on a date and time certain. A continuance may not be granted by consent order.</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2550 of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2550.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rPr>
        <w:t xml:space="preserve">A summons and petition for termination of parental rights must be filed with the court and served 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child</w:t>
      </w:r>
      <w:r>
        <w:rPr>
          <w:color w:val="000000"/>
          <w:u w:val="single"/>
        </w:rPr>
        <w:t>, if the child is fourteen years of age or older</w:t>
      </w:r>
      <w:r>
        <w:rPr>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Pr>
          <w:color w:val="000000"/>
          <w:u w:val="single"/>
        </w:rPr>
        <w:t>the child’s guardian ad litem, appointed pursuant to Section 63</w:t>
      </w:r>
      <w:r>
        <w:rPr>
          <w:color w:val="000000"/>
          <w:u w:val="single"/>
        </w:rPr>
        <w:noBreakHyphen/>
        <w:t>7</w:t>
      </w:r>
      <w:r>
        <w:rPr>
          <w:color w:val="000000"/>
          <w:u w:val="single"/>
        </w:rPr>
        <w:noBreakHyphen/>
        <w:t>2560(B), if the child is under fourteen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Pr>
          <w:color w:val="000000"/>
        </w:rPr>
        <w:tab/>
        <w:t xml:space="preserve">the parents of the child;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strike/>
          <w:color w:val="000000"/>
        </w:rPr>
        <w:t>(3)</w:t>
      </w:r>
      <w:r>
        <w:rPr>
          <w:color w:val="000000"/>
          <w:u w:val="single"/>
        </w:rPr>
        <w:t>(4)</w:t>
      </w:r>
      <w:r>
        <w:rPr>
          <w:color w:val="000000"/>
        </w:rPr>
        <w:tab/>
        <w:t>an agency with placement or custody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Pr>
          <w:color w:val="000000"/>
          <w:u w:val="single"/>
        </w:rPr>
        <w:t>The right of an unmarried biological father, as defined in Section 63</w:t>
      </w:r>
      <w:r>
        <w:rPr>
          <w:color w:val="000000"/>
          <w:u w:val="single"/>
        </w:rPr>
        <w:noBreakHyphen/>
        <w:t>9</w:t>
      </w:r>
      <w:r>
        <w:rPr>
          <w:color w:val="000000"/>
          <w:u w:val="single"/>
        </w:rPr>
        <w:noBreakHyphen/>
        <w:t>820, to receive notice of a termination of parental rights action must be governed by the notice provisions of Section 63</w:t>
      </w:r>
      <w:r>
        <w:rPr>
          <w:color w:val="000000"/>
          <w:u w:val="single"/>
        </w:rPr>
        <w:noBreakHyphen/>
        <w:t>9</w:t>
      </w:r>
      <w:r>
        <w:rPr>
          <w:color w:val="000000"/>
          <w:u w:val="single"/>
        </w:rPr>
        <w:noBreakHyphen/>
        <w:t>730(B)(1), (3), (4), (5), and (6), and Subarticle 8, Chapter 9.</w:t>
      </w:r>
      <w:r>
        <w:rPr>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noBreakHyphen/>
        <w:t>9</w:t>
      </w:r>
      <w:r>
        <w:noBreakHyphen/>
        <w:t>730 of the 1976 Code, as amended by Section 2 of this act, affecting an unmarried biological father’s right to receive notice in a termination of parental rights or an adoption action by filing a claim of paternity and Section 63</w:t>
      </w:r>
      <w:r>
        <w:noBreakHyphen/>
        <w:t>7</w:t>
      </w:r>
      <w:r>
        <w:noBreakHyphen/>
        <w:t>2250(B) of the 1976 Code, as added by Section 4 of this act, apply to termination of parental rights actions and adoption actions filed one year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51AAB9-B53C-4B42-A5DB-301EF904F8CA}"/>
    <w:embedBold r:id="rId2" w:fontKey="{4A89EE58-DF78-421B-A1DC-B8DE7775CD00}"/>
  </w:font>
  <w:font w:name="Calibri">
    <w:panose1 w:val="020F0502020204030204"/>
    <w:charset w:val="00"/>
    <w:family w:val="swiss"/>
    <w:pitch w:val="variable"/>
    <w:sig w:usb0="A00002EF" w:usb1="4000207B" w:usb2="00000000" w:usb3="00000000" w:csb0="0000009F" w:csb1="00000000"/>
    <w:embedRegular r:id="rId3" w:fontKey="{AC333FB3-DF4B-4BC7-A9F4-03BB4AAB0E87}"/>
  </w:font>
  <w:font w:name="Tahoma">
    <w:panose1 w:val="020B0604030504040204"/>
    <w:charset w:val="00"/>
    <w:family w:val="swiss"/>
    <w:pitch w:val="variable"/>
    <w:sig w:usb0="61002A87" w:usb1="80000000" w:usb2="00000008" w:usb3="00000000" w:csb0="000101FF" w:csb1="00000000"/>
    <w:embedRegular r:id="rId4" w:fontKey="{DFA9FE79-2D3E-4BEC-A540-68FAD982096A}"/>
  </w:font>
  <w:font w:name="Cambria">
    <w:panose1 w:val="02040503050406030204"/>
    <w:charset w:val="00"/>
    <w:family w:val="roman"/>
    <w:pitch w:val="variable"/>
    <w:sig w:usb0="A00002EF" w:usb1="4000004B" w:usb2="00000000" w:usb3="00000000" w:csb0="0000009F" w:csb1="00000000"/>
    <w:embedRegular r:id="rId5" w:fontKey="{33F114A0-4F4C-44C7-92C1-FEBE64764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[3311]</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9AC09"/>
    <w:docVar w:name="CoverBillType" w:val="b"/>
    <w:docVar w:name="docpath" w:val="L:\Council\bills\NBD\11129AC09.DOCX"/>
    <w:docVar w:name="dvBillNumber" w:val="331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2159</Words>
  <Characters>12310</Characters>
  <Application>Microsoft Office Word</Application>
  <DocSecurity>0</DocSecurity>
  <Lines>102</Lines>
  <Paragraphs>28</Paragraphs>
  <ScaleCrop>false</ScaleCrop>
  <Company> </Company>
  <LinksUpToDate>false</LinksUpToDate>
  <CharactersWithSpaces>14441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2009-01-14T20:20:00Z</cp:lastPrinted>
  <dcterms:created xsi:type="dcterms:W3CDTF">2009-01-27T17:24:00Z</dcterms:created>
  <dcterms:modified xsi:type="dcterms:W3CDTF">2009-01-27T17:24:00Z</dcterms:modified>
</cp:coreProperties>
</file>