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58</w:t>
      </w:r>
      <w:r>
        <w:noBreakHyphen/>
        <w:t>5</w:t>
      </w:r>
      <w:r>
        <w:noBreakHyphen/>
        <w:t>265 SO AS TO REQUIRE</w:t>
      </w:r>
      <w:r>
        <w:rPr>
          <w:caps/>
        </w:rPr>
        <w:t xml:space="preserve"> Within five days after the filing of a new or changed rate schedule for water or sewer service provided by a privately owned public utility, the utility shall make available certain independently audited financial statements and consolidated financial statements for public inspection in a certain manner for a certain period of time.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3, Chapter 5, Title 58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>
        <w:noBreakHyphen/>
        <w:t>5</w:t>
      </w:r>
      <w:r>
        <w:noBreakHyphen/>
        <w:t>265.</w:t>
      </w:r>
      <w:r>
        <w:tab/>
        <w:t>(A)(1)</w:t>
      </w:r>
      <w:r>
        <w:tab/>
        <w:t>Within five days after the filing of a new or changed rate schedule for water or sewer service provided by a privately owned public utility, the utility shall provide to the public, the Office of Regulatory Staff, and the Public Service Commission: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an audited financial statement prepared by an independent certified public accountant for each operating division or subsidiary of the utility operating in this State;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a current consolidated financial statement of the utility.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The utility shall continue to make the financial statements available to the public for a period of two years: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on its Internet website;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 each office it maintains in the county or franchise district in which the utility seeks a new or changed rate schedule. 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(B)</w:t>
      </w:r>
      <w:r>
        <w:tab/>
        <w:t>The Office of Regulatory Staff and the Public Service Commission shall make the financial statements required in subsection (A) available for public inspection within twenty</w:t>
      </w:r>
      <w:r>
        <w:noBreakHyphen/>
        <w:t>four hours of receiving the reports from the utility and shall continue to make the financial statements available for a period of two years: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on their respective Internet websites;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in each office they maintain in this State.”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65C2BA-C0C1-45B4-A25E-467109CC41D2}"/>
    <w:embedBold r:id="rId2" w:fontKey="{A4160043-37F9-41B2-9B83-CB0046A525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7209F1-4615-4B06-9C0E-5954657060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CFBABE8-B18E-4510-9273-6FFDDD7039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142301-66AB-4E7D-A4A8-7699333CFB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194AB09"/>
    <w:docVar w:name="CoverBillType" w:val="b"/>
    <w:docVar w:name="docpath" w:val="L:\Council\bills\GGS\22194AB09.DOCX"/>
    <w:docVar w:name="dvBillNumber" w:val="3331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1621</Characters>
  <Application>Microsoft Office Word</Application>
  <DocSecurity>0</DocSecurity>
  <Lines>13</Lines>
  <Paragraphs>3</Paragraphs>
  <ScaleCrop>false</ScaleCrop>
  <Company> 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2009-01-14T20:47:00Z</cp:lastPrinted>
  <dcterms:created xsi:type="dcterms:W3CDTF">2009-01-27T17:50:00Z</dcterms:created>
  <dcterms:modified xsi:type="dcterms:W3CDTF">2009-01-27T17:50:00Z</dcterms:modified>
</cp:coreProperties>
</file>