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6</w:t>
      </w:r>
      <w:r>
        <w:noBreakHyphen/>
        <w:t>1170, AS AMENDED, CODE OF LAWS OF SOUTH CAROLINA, 1976, RELATING TO THE RETIREMENT INCOME DEDUCTION AND THE DEDUCTION ALLOWED TAXPAYERS WHO HAVE ATTAINED AGE SIXTY</w:t>
      </w:r>
      <w:r>
        <w:noBreakHyphen/>
        <w:t>FIVE, SO AS TO SUBJECT OTHERWISE TAXABLE RETIREMENT INCOME TO A MAXIMUM STATE INCOME TAX RATE OF TWO PERCENT.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>1170 of the 1976 Code, as last amended by Act 161 of 2005, is further amended by adding a new subsection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  <w:t>Notwithstanding the rates of the income tax imposed on South Carolina taxable income of individuals pursuant Section 12</w:t>
      </w:r>
      <w:r>
        <w:noBreakHyphen/>
        <w:t>6</w:t>
      </w:r>
      <w:r>
        <w:noBreakHyphen/>
        <w:t>510, that portion of South Carolina taxable income representing retirement income is subject to a maximum income tax rate of two percent.  The Department of Revenue shall devise a computation to adjust the liability of a taxpayer to reflect this maximum rate.”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taxable years beginning after 2008.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AE355-BD24-4947-A65B-D3B8B2CF7634}"/>
    <w:embedBold r:id="rId2" w:fontKey="{1CE24F3F-3C16-4256-BACD-D57BA9816B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798956-AC8E-49D9-82ED-6A4ABDF79A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6A271C7-9D11-4215-9C7D-DD8D796B95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102HTC09"/>
    <w:docVar w:name="CoverBillType" w:val="b"/>
    <w:docVar w:name="docpath" w:val="L:\Council\bills\BBM\9102HTC09.DOCX"/>
    <w:docVar w:name="dvBillNumber" w:val="3332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7</Lines>
  <Paragraphs>2</Paragraphs>
  <ScaleCrop>false</ScaleCrop>
  <Company> 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dcterms:created xsi:type="dcterms:W3CDTF">2009-01-27T18:32:00Z</dcterms:created>
  <dcterms:modified xsi:type="dcterms:W3CDTF">2009-01-27T18:32:00Z</dcterms:modified>
</cp:coreProperties>
</file>