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2009</w:t>
      </w: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5A3" w:rsidRPr="00CA45A3" w:rsidRDefault="00CA45A3" w:rsidP="00CA45A3">
      <w:pPr>
        <w:tabs>
          <w:tab w:val="right" w:pos="5933"/>
        </w:tabs>
        <w:suppressAutoHyphens/>
      </w:pPr>
      <w:r>
        <w:tab/>
      </w:r>
      <w:r>
        <w:rPr>
          <w:b/>
          <w:sz w:val="36"/>
        </w:rPr>
        <w:t>H. 3352</w:t>
      </w: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DC6" w:rsidRDefault="004F3DC6" w:rsidP="004F3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Cooper, Stewart, Whitmire, Funderburk, Rice, Wylie, Allison, E.H. Pitts, R.L. Brown, White, Stavrinakis, Miller, Anderson, Battle, Hayes, Gilliard, Sottile, Mack, Harvin, Whipper, Hutto, G.R. Smith, Knight, Willis, Neilson, T.R. Young, Cobb</w:t>
      </w:r>
      <w:r>
        <w:noBreakHyphen/>
        <w:t>Hunter, J.H. Neal, Clyburn, G.M. Smith, Kennedy, Herbkersman, Merrill, Bingham, Ott, J.R. Smith, A.D. Young, Kirsh, Lucas, Littlejohn, Edge, Limehouse, M.A. Pitts, Loftis, D.C. Smith, Pinson, Barfield, Bannister, Dillard, Stringer, Allen, Nanney, Govan, Parker, Frye, Hardwick and Hearn</w:t>
      </w:r>
    </w:p>
    <w:p w:rsidR="004F3DC6" w:rsidRDefault="004F3DC6" w:rsidP="004F3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F3DC6" w:rsidRPr="004F3DC6" w:rsidRDefault="004F3DC6" w:rsidP="004F3DC6">
      <w:pPr>
        <w:tabs>
          <w:tab w:val="right" w:pos="5933"/>
        </w:tabs>
        <w:suppressAutoHyphens/>
      </w:pPr>
      <w:r w:rsidRPr="004F3DC6">
        <w:t>S. Printed 2/11/09--H.</w:t>
      </w:r>
      <w:r>
        <w:tab/>
        <w:t>[SEC 2/12/09 2:36 PM]</w:t>
      </w:r>
    </w:p>
    <w:p w:rsidR="004F3DC6" w:rsidRPr="004F3DC6" w:rsidRDefault="004F3DC6" w:rsidP="004F3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3DC6">
        <w:t>Read the first time January 27, 2009.</w:t>
      </w:r>
    </w:p>
    <w:p w:rsidR="004F3DC6" w:rsidRPr="004F3DC6" w:rsidRDefault="004F3DC6" w:rsidP="004F3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5A3" w:rsidRPr="00CA45A3"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3352) </w:t>
      </w:r>
      <w:r w:rsidRPr="00CA45A3">
        <w:rPr>
          <w:rFonts w:eastAsiaTheme="minorHAnsi"/>
          <w:color w:val="000000" w:themeColor="text1"/>
          <w:szCs w:val="22"/>
          <w:u w:color="000000" w:themeColor="text1"/>
        </w:rPr>
        <w:t>to allow local school districts and special schools to transfer funds among appropriated revenues in order to ensure the delivery of academic and a</w:t>
      </w:r>
      <w:r w:rsidR="00FE7FCE">
        <w:rPr>
          <w:rFonts w:eastAsiaTheme="minorHAnsi"/>
          <w:color w:val="000000" w:themeColor="text1"/>
          <w:szCs w:val="22"/>
          <w:u w:color="000000" w:themeColor="text1"/>
        </w:rPr>
        <w:t>rts instruction during the 2008-</w:t>
      </w:r>
      <w:r w:rsidRPr="00CA45A3">
        <w:rPr>
          <w:rFonts w:eastAsiaTheme="minorHAnsi"/>
          <w:color w:val="000000" w:themeColor="text1"/>
          <w:szCs w:val="22"/>
          <w:u w:color="000000" w:themeColor="text1"/>
        </w:rPr>
        <w:t>2009</w:t>
      </w:r>
      <w:r>
        <w:t>, etc., respectfully</w:t>
      </w:r>
    </w:p>
    <w:p w:rsidR="00CA45A3" w:rsidRPr="00CA45A3"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0B57">
        <w:t>Amend the joint resolution, as and if amended, by deleting SECTION 2 and inserting:</w:t>
      </w: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40B57">
        <w:t xml:space="preserve">/ </w:t>
      </w:r>
      <w:r w:rsidRPr="00940B57">
        <w:rPr>
          <w:u w:color="000000" w:themeColor="text1"/>
        </w:rPr>
        <w:t>SECTION</w:t>
      </w:r>
      <w:r w:rsidRPr="00940B57">
        <w:rPr>
          <w:u w:color="000000" w:themeColor="text1"/>
        </w:rPr>
        <w:tab/>
      </w:r>
      <w:r w:rsidR="00FE7FCE">
        <w:rPr>
          <w:u w:color="000000" w:themeColor="text1"/>
        </w:rPr>
        <w:t xml:space="preserve"> </w:t>
      </w:r>
      <w:r w:rsidRPr="00940B57">
        <w:rPr>
          <w:u w:color="000000" w:themeColor="text1"/>
        </w:rPr>
        <w:t>2.</w:t>
      </w:r>
      <w:r w:rsidRPr="00940B57">
        <w:rPr>
          <w:u w:color="000000" w:themeColor="text1"/>
        </w:rPr>
        <w:tab/>
        <w:t>Notwithstanding another provision of law and for the 2008</w:t>
      </w:r>
      <w:r w:rsidRPr="00940B57">
        <w:rPr>
          <w:u w:color="000000" w:themeColor="text1"/>
        </w:rPr>
        <w:noBreakHyphen/>
        <w:t>2009 and 2009</w:t>
      </w:r>
      <w:r w:rsidRPr="00940B57">
        <w:rPr>
          <w:u w:color="000000" w:themeColor="text1"/>
        </w:rPr>
        <w:noBreakHyphen/>
        <w:t>2010 fiscal years, school districts must be granted:</w:t>
      </w: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1.</w:t>
      </w:r>
      <w:r w:rsidRPr="00940B57">
        <w:rPr>
          <w:u w:color="000000" w:themeColor="text1"/>
        </w:rPr>
        <w:tab/>
        <w:t>suspension from professional staffing ratios and subfund level expenditure regulations and guidelines;</w:t>
      </w: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2.</w:t>
      </w:r>
      <w:r w:rsidRPr="00940B57">
        <w:rPr>
          <w:u w:color="000000" w:themeColor="text1"/>
        </w:rPr>
        <w:tab/>
        <w:t>permission to transfer funds among funding categories, including capital funds from the Children’s Education Endowment Fund and excluding funds required for debt service or bonded indebtedness;</w:t>
      </w: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3.</w:t>
      </w:r>
      <w:r w:rsidRPr="00940B57">
        <w:rPr>
          <w:u w:color="000000" w:themeColor="text1"/>
        </w:rPr>
        <w:tab/>
        <w:t>permission to delay from April fifteenth to May fifteenth the date that contracts are issued to teachers;</w:t>
      </w: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lastRenderedPageBreak/>
        <w:tab/>
        <w:t>4.</w:t>
      </w:r>
      <w:r w:rsidRPr="00940B57">
        <w:rPr>
          <w:u w:color="000000" w:themeColor="text1"/>
        </w:rPr>
        <w:tab/>
        <w:t>permission to negotiate salaries below the minimum salary requirements for retired teachers if specified in the contract or otherwise authorized by law.</w:t>
      </w: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 xml:space="preserve">If specified in the contract or if the district is otherwise authorized by law to furlough teachers, a district may furlough teachers for up to five noninstructional days provided that school and district administrators are furloughed for an equivalent number of days.  All other program regulations, guidelines, reporting, and audit requirements remain in effect unless addressed in this joint resolution.  To further ensure resources are maximized, districts are encouraged to limit the number of low enrollment courses, expand virtual instruction, and, to the extent possible, develop schedules to minimize transportation costs of extracurricular and academic competitions.  Prior to implementing the flexibility provisions provided in this joint resolution, school districts must provide to public charter schools the per pupil allocation due to the charter schools for each categorical program.  </w:t>
      </w: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0B57">
        <w:rPr>
          <w:u w:color="000000" w:themeColor="text1"/>
        </w:rPr>
        <w:tab/>
        <w:t>The school district board of trustees must certify that specific actions were taken in response to the measures provided in Sections 1 and 2 of this joint resolution.  The certification and report must be in writing and delivered, on a quarterly basis, to the State Superintendent of Education, and a copy must be forwarded to the Chairman of the Senate Finance Committee, the Chairman of the Senate Education Committee, the Chairman of the House Ways and Means Committee, and the Chairman of the House Education and Public Works Committee.</w:t>
      </w:r>
      <w:r w:rsidRPr="00940B57">
        <w:t>/</w:t>
      </w: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0B57">
        <w:t>Amend the joint resolution further, as and if amended, SECTION 3, as contained on page 2, lines 36 through 42, by deleting the SECTION in its entirety and inserting:</w:t>
      </w: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40B57">
        <w:t>/</w:t>
      </w:r>
      <w:r w:rsidRPr="00940B57">
        <w:rPr>
          <w:u w:color="000000" w:themeColor="text1"/>
        </w:rPr>
        <w:t>SECTION</w:t>
      </w:r>
      <w:r w:rsidRPr="00940B57">
        <w:rPr>
          <w:u w:color="000000" w:themeColor="text1"/>
        </w:rPr>
        <w:tab/>
        <w:t>3.</w:t>
      </w:r>
      <w:r w:rsidRPr="00940B57">
        <w:rPr>
          <w:u w:color="000000" w:themeColor="text1"/>
        </w:rPr>
        <w:tab/>
        <w:t>Notwithstanding another provision of law and for the 2008</w:t>
      </w:r>
      <w:r w:rsidRPr="00940B57">
        <w:rPr>
          <w:u w:color="000000" w:themeColor="text1"/>
        </w:rPr>
        <w:noBreakHyphen/>
        <w:t>2009 and 2009</w:t>
      </w:r>
      <w:r w:rsidRPr="00940B57">
        <w:rPr>
          <w:u w:color="000000" w:themeColor="text1"/>
        </w:rPr>
        <w:noBreakHyphen/>
        <w:t>2010 fiscal years, implementation of formative assessments for grades one, two, and nine, the foreign language program assessment, the physical education assessment, and new textbook adoptions must be suspended.  School districts and the State Department of Education must be granted permission to purchase the most economical type of bus fuel./</w:t>
      </w: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0B57">
        <w:t>Renumber sections to conform.</w:t>
      </w:r>
    </w:p>
    <w:p w:rsidR="00CA45A3"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0B57">
        <w:t>Amend title to conform.</w:t>
      </w: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T. COOPER for Committee.</w:t>
      </w:r>
    </w:p>
    <w:p w:rsidR="00CA45A3" w:rsidRPr="00CA45A3"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45A3" w:rsidSect="00CA45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Start w:id="2" w:name="titleend"/>
      <w:bookmarkEnd w:id="1"/>
      <w:bookmarkEnd w:id="2"/>
      <w:r>
        <w:rPr>
          <w:rFonts w:eastAsiaTheme="minorHAnsi"/>
          <w:color w:val="000000" w:themeColor="text1"/>
          <w:szCs w:val="22"/>
          <w:u w:color="000000" w:themeColor="text1"/>
        </w:rPr>
        <w:t>TO ALLOW LOCAL SCHOOL DISTRICTS AND SPECIAL SCHOOLS TO TRANSFER FUNDS AMONG APPROPRIATED REVENUES IN ORDER TO ENSURE THE DELIVERY OF ACADEMIC AND ARTS INSTRUCTION DURING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ALLOW SCHOOL DISTRICTS FOR FISCAL YEARS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TO SUSPEND CERTAIN PROFESSIONAL STAFFING RATIOS, TO TRANSFER FUNDS, TO DELAY THE DATE THAT TEACHER CONTRACTS ARE ISSUED, AND TO NEGOTIATE SALARIES FOR RETIRED AND TERI TEACHERS BELOW MINIMUM SALARY REQUIREMENTS; TO ALLOW SCHOOL DISTRICTS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FURLOUGH TEACHERS AND SCHOOL AND DISTRICT ADMINISTRATORS UPON CERTAIN CONDITIONS; TO PROVIDE CERTIFICATION AND REPORTING REQUIREMENTS; TO SUSPEND CERTAIN FORMATIVE ASSESSMENTS AND TO ALLOW SCHOOL DISTRICTS TO PURCHASE THE MOST ECONOMICAL TYPE OF BUS FUEL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school districts and special schools of this State may transfer among appropriated state revenues, excluding lottery funds, as needed to ensure the delivery of academic and arts instruction to students.</w:t>
      </w:r>
      <w:r>
        <w:rPr>
          <w:rFonts w:eastAsiaTheme="minorHAnsi"/>
          <w:color w:val="000000" w:themeColor="text1"/>
          <w:szCs w:val="22"/>
          <w:u w:color="000000" w:themeColor="text1"/>
        </w:rPr>
        <w:tab/>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Notwithstanding another provision of law and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school districts must be granted:</w:t>
      </w: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suspension from professional staffing ratios and regulations and guidelines requiring expenditures at the subfund level;</w:t>
      </w: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permission to transfer funds among funding categories, including capital funds from the Children’s Education Endowment Fund and excluding funds required for debt service or bonded indebtedness;</w:t>
      </w: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permission to delay the date that contracts are issued to teachers from April 15 to May 15;</w:t>
      </w: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permission to negotiate salaries for retired teachers or teachers participating in the TERI program below the minimum salary requirements.</w:t>
      </w: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If specified in the contract or if the district is otherwise authorized by law to furlough teachers, a district may furlough teachers for up to five noninstructional days provided that school and district administrators are furloughed for an equivalent number of days.  All other program regulations, guidelines, reporting, and audit requirements remain in effect unless addressed in this joint resolution.  To further ensure resources are maximized, districts are encouraged to limit the number of low enrollment courses, expand virtual instruction, and, to the extent possible, develop schedules to minimize transportation costs of extracurricular and academic competitions.  </w:t>
      </w: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school district board of trustees must certify that specific actions were taken in response to the measures provided in Sections 1 and 2 of this joint resolution.  The certification and report must be in writing and delivered, on a quarterly basis, to the State Superintendent of Education, and a copy must be forwarded to the Chairman of the Senate Finance Committee, the Chairman of the Senate Education Committee, the Chairman of the House Ways and Means Committee, and the Chairman of the House Education and Public Works Committee.</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Notwithstanding another provision of law and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implementation of formative assessments for grades one, two, and nine, the foreign language program assessment, the physical education assessment, and new textbook adoptions must be suspended.  School districts must be granted permission to purchase the most economical type of bus fuel.</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This joint resolution takes effect upon approval by the Governor.</w:t>
      </w: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1082" w:rsidRDefault="00791082" w:rsidP="00286BE9">
      <w:pPr>
        <w:suppressAutoHyphens/>
      </w:pPr>
    </w:p>
    <w:sectPr w:rsidR="00791082" w:rsidSect="00CA45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45A3" w:rsidRDefault="00CA45A3">
      <w:r>
        <w:separator/>
      </w:r>
    </w:p>
  </w:endnote>
  <w:endnote w:type="continuationSeparator" w:id="1">
    <w:p w:rsidR="00CA45A3" w:rsidRDefault="00CA45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D72C33-35C1-4CA7-8832-2E9ED76300EF}"/>
    <w:embedBold r:id="rId2" w:fontKey="{C9F4ED48-2965-44DD-9959-A1D405BB1F60}"/>
  </w:font>
  <w:font w:name="Calibri">
    <w:panose1 w:val="020F0502020204030204"/>
    <w:charset w:val="00"/>
    <w:family w:val="swiss"/>
    <w:pitch w:val="variable"/>
    <w:sig w:usb0="A00002EF" w:usb1="4000207B" w:usb2="00000000" w:usb3="00000000" w:csb0="0000009F" w:csb1="00000000"/>
    <w:embedRegular r:id="rId3" w:fontKey="{1800CDE3-A876-499F-B9A6-5063BCDAC003}"/>
  </w:font>
  <w:font w:name="Tahoma">
    <w:panose1 w:val="020B0604030504040204"/>
    <w:charset w:val="00"/>
    <w:family w:val="swiss"/>
    <w:pitch w:val="variable"/>
    <w:sig w:usb0="61002A87" w:usb1="80000000" w:usb2="00000008" w:usb3="00000000" w:csb0="000101FF" w:csb1="00000000"/>
    <w:embedRegular r:id="rId4" w:fontKey="{FC7D3498-756E-404B-9A4A-65DC3456F172}"/>
  </w:font>
  <w:font w:name="Cambria">
    <w:panose1 w:val="02040503050406030204"/>
    <w:charset w:val="00"/>
    <w:family w:val="roman"/>
    <w:pitch w:val="variable"/>
    <w:sig w:usb0="A00002EF" w:usb1="4000004B" w:usb2="00000000" w:usb3="00000000" w:csb0="0000009F" w:csb1="00000000"/>
    <w:embedRegular r:id="rId5" w:fontKey="{3F63A53D-C2ED-4845-8E2A-AF3759B811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5A3" w:rsidRDefault="00CA45A3">
    <w:pPr>
      <w:pStyle w:val="Footer"/>
      <w:tabs>
        <w:tab w:val="clear" w:pos="4680"/>
        <w:tab w:val="clear" w:pos="9360"/>
        <w:tab w:val="center" w:pos="2995"/>
      </w:tabs>
      <w:spacing w:before="120"/>
    </w:pPr>
    <w:r>
      <w:t>[3352-</w:t>
    </w:r>
    <w:fldSimple w:instr=" PAGE  \* MERGEFORMAT ">
      <w:r w:rsidR="00286BE9">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5A3" w:rsidRDefault="00CA45A3">
    <w:pPr>
      <w:pStyle w:val="Footer"/>
      <w:tabs>
        <w:tab w:val="clear" w:pos="4680"/>
        <w:tab w:val="clear" w:pos="9360"/>
        <w:tab w:val="center" w:pos="2995"/>
      </w:tabs>
      <w:spacing w:before="120"/>
    </w:pPr>
    <w:r>
      <w:t>[3352]</w:t>
    </w:r>
    <w:r>
      <w:tab/>
    </w:r>
    <w:fldSimple w:instr=" PAGE  \* MERGEFORMAT ">
      <w:r w:rsidR="00286B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45A3" w:rsidRDefault="00CA45A3">
      <w:r>
        <w:separator/>
      </w:r>
    </w:p>
  </w:footnote>
  <w:footnote w:type="continuationSeparator" w:id="1">
    <w:p w:rsidR="00CA45A3" w:rsidRDefault="00CA45A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52BH09"/>
    <w:docVar w:name="CoverBillType" w:val="j"/>
    <w:docVar w:name="docpath" w:val="L:\Council\bills\NBD\11152BH09.DOCX"/>
    <w:docVar w:name="dvBillNumber" w:val="3352"/>
    <w:docVar w:name="dvBillNumberPrefix" w:val="H. "/>
    <w:docVar w:name="dvOriginalBody" w:val="House"/>
    <w:docVar w:name="dvSteno" w:val="NBD"/>
    <w:docVar w:name="NameofBody" w:val="h"/>
    <w:docVar w:name="vgroup2" w:val="Council"/>
  </w:docVars>
  <w:rsids>
    <w:rsidRoot w:val="00791082"/>
    <w:rsid w:val="00286BE9"/>
    <w:rsid w:val="004F3DC6"/>
    <w:rsid w:val="00791082"/>
    <w:rsid w:val="00CA45A3"/>
    <w:rsid w:val="00E5548C"/>
    <w:rsid w:val="00FE7F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8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9108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082"/>
    <w:rPr>
      <w:rFonts w:eastAsia="Times New Roman" w:cs="Times New Roman"/>
      <w:b/>
      <w:sz w:val="30"/>
      <w:szCs w:val="20"/>
    </w:rPr>
  </w:style>
  <w:style w:type="paragraph" w:styleId="Header">
    <w:name w:val="header"/>
    <w:basedOn w:val="Normal"/>
    <w:link w:val="HeaderChar"/>
    <w:uiPriority w:val="99"/>
    <w:semiHidden/>
    <w:unhideWhenUsed/>
    <w:rsid w:val="00791082"/>
    <w:pPr>
      <w:tabs>
        <w:tab w:val="center" w:pos="4320"/>
        <w:tab w:val="right" w:pos="8640"/>
      </w:tabs>
    </w:pPr>
  </w:style>
  <w:style w:type="character" w:customStyle="1" w:styleId="HeaderChar">
    <w:name w:val="Header Char"/>
    <w:basedOn w:val="DefaultParagraphFont"/>
    <w:link w:val="Header"/>
    <w:uiPriority w:val="99"/>
    <w:semiHidden/>
    <w:rsid w:val="00791082"/>
    <w:rPr>
      <w:rFonts w:eastAsia="Times New Roman" w:cs="Times New Roman"/>
      <w:szCs w:val="20"/>
    </w:rPr>
  </w:style>
  <w:style w:type="paragraph" w:styleId="Footer">
    <w:name w:val="footer"/>
    <w:basedOn w:val="Normal"/>
    <w:link w:val="FooterChar"/>
    <w:uiPriority w:val="99"/>
    <w:unhideWhenUsed/>
    <w:rsid w:val="00791082"/>
    <w:pPr>
      <w:tabs>
        <w:tab w:val="center" w:pos="4680"/>
        <w:tab w:val="right" w:pos="9360"/>
      </w:tabs>
    </w:pPr>
  </w:style>
  <w:style w:type="character" w:customStyle="1" w:styleId="FooterChar">
    <w:name w:val="Footer Char"/>
    <w:basedOn w:val="DefaultParagraphFont"/>
    <w:link w:val="Footer"/>
    <w:uiPriority w:val="99"/>
    <w:rsid w:val="00791082"/>
    <w:rPr>
      <w:rFonts w:eastAsia="Times New Roman" w:cs="Times New Roman"/>
      <w:szCs w:val="20"/>
    </w:rPr>
  </w:style>
  <w:style w:type="character" w:styleId="PageNumber">
    <w:name w:val="page number"/>
    <w:basedOn w:val="DefaultParagraphFont"/>
    <w:uiPriority w:val="99"/>
    <w:semiHidden/>
    <w:unhideWhenUsed/>
    <w:rsid w:val="00791082"/>
  </w:style>
  <w:style w:type="character" w:styleId="LineNumber">
    <w:name w:val="line number"/>
    <w:basedOn w:val="DefaultParagraphFont"/>
    <w:uiPriority w:val="99"/>
    <w:semiHidden/>
    <w:unhideWhenUsed/>
    <w:rsid w:val="00791082"/>
  </w:style>
  <w:style w:type="paragraph" w:customStyle="1" w:styleId="BillDots">
    <w:name w:val="Bill Dots"/>
    <w:basedOn w:val="Normal"/>
    <w:qFormat/>
    <w:rsid w:val="0079108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91082"/>
    <w:pPr>
      <w:tabs>
        <w:tab w:val="right" w:pos="5904"/>
      </w:tabs>
    </w:pPr>
  </w:style>
  <w:style w:type="paragraph" w:styleId="BalloonText">
    <w:name w:val="Balloon Text"/>
    <w:basedOn w:val="Normal"/>
    <w:link w:val="BalloonTextChar"/>
    <w:uiPriority w:val="99"/>
    <w:semiHidden/>
    <w:unhideWhenUsed/>
    <w:rsid w:val="00791082"/>
    <w:rPr>
      <w:rFonts w:ascii="Tahoma" w:hAnsi="Tahoma" w:cs="Tahoma"/>
      <w:sz w:val="16"/>
      <w:szCs w:val="16"/>
    </w:rPr>
  </w:style>
  <w:style w:type="character" w:customStyle="1" w:styleId="BalloonTextChar">
    <w:name w:val="Balloon Text Char"/>
    <w:basedOn w:val="DefaultParagraphFont"/>
    <w:link w:val="BalloonText"/>
    <w:uiPriority w:val="99"/>
    <w:semiHidden/>
    <w:rsid w:val="007910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1144</Words>
  <Characters>6524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2009-01-27T17:41:00Z</cp:lastPrinted>
  <dcterms:created xsi:type="dcterms:W3CDTF">2009-02-12T19:36:00Z</dcterms:created>
  <dcterms:modified xsi:type="dcterms:W3CDTF">2009-02-12T19:36:00Z</dcterms:modified>
</cp:coreProperties>
</file>