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4B3F" w:rsidRDefault="00384B3F">
      <w:pPr>
        <w:pStyle w:val="BillDots"/>
      </w:pPr>
      <w:r>
        <w:rPr>
          <w:strike/>
        </w:rPr>
        <w:t>Indicates Matter Stricken</w:t>
      </w:r>
    </w:p>
    <w:p w:rsidR="00384B3F" w:rsidRPr="00384B3F" w:rsidRDefault="00384B3F">
      <w:pPr>
        <w:pStyle w:val="BillDots"/>
      </w:pPr>
      <w:r>
        <w:rPr>
          <w:u w:val="single"/>
        </w:rPr>
        <w:t>Indicates New Matter</w:t>
      </w:r>
    </w:p>
    <w:p w:rsidR="00384B3F" w:rsidRDefault="00384B3F">
      <w:pPr>
        <w:pStyle w:val="BillDots"/>
      </w:pPr>
    </w:p>
    <w:p w:rsidR="00384B3F" w:rsidRDefault="00384B3F">
      <w:pPr>
        <w:pStyle w:val="BillDots"/>
      </w:pPr>
      <w:r>
        <w:t>AMENDED</w:t>
      </w:r>
    </w:p>
    <w:p w:rsidR="00384B3F" w:rsidRDefault="00384B3F">
      <w:pPr>
        <w:pStyle w:val="BillDots"/>
      </w:pPr>
      <w:r>
        <w:t>March 25, 2010</w:t>
      </w:r>
    </w:p>
    <w:p w:rsidR="00384B3F" w:rsidRDefault="00384B3F">
      <w:pPr>
        <w:pStyle w:val="BillDots"/>
      </w:pPr>
    </w:p>
    <w:p w:rsidR="00384B3F" w:rsidRPr="00384B3F" w:rsidRDefault="00384B3F" w:rsidP="00384B3F">
      <w:pPr>
        <w:pStyle w:val="BillDots"/>
        <w:tabs>
          <w:tab w:val="clear" w:pos="216"/>
          <w:tab w:val="clear" w:pos="432"/>
          <w:tab w:val="clear" w:pos="648"/>
          <w:tab w:val="clear" w:pos="864"/>
          <w:tab w:val="clear" w:pos="1080"/>
          <w:tab w:val="clear" w:pos="1296"/>
          <w:tab w:val="clear" w:pos="5904"/>
          <w:tab w:val="right" w:pos="5933"/>
        </w:tabs>
      </w:pPr>
      <w:r>
        <w:tab/>
      </w:r>
      <w:r>
        <w:rPr>
          <w:b/>
          <w:sz w:val="36"/>
        </w:rPr>
        <w:t>H. 3354</w:t>
      </w:r>
    </w:p>
    <w:p w:rsidR="00384B3F" w:rsidRDefault="00384B3F">
      <w:pPr>
        <w:pStyle w:val="BillDots"/>
      </w:pPr>
    </w:p>
    <w:p w:rsidR="00384B3F" w:rsidRDefault="00384B3F">
      <w:pPr>
        <w:pStyle w:val="BillDots"/>
      </w:pPr>
      <w:r>
        <w:t>Introduced by Reps. Chalk, Brantley, G.A. Brown, Clyburn, Erickson, Herbkersman and Sottile</w:t>
      </w:r>
    </w:p>
    <w:p w:rsidR="00384B3F" w:rsidRDefault="00384B3F">
      <w:pPr>
        <w:pStyle w:val="BillDots"/>
      </w:pPr>
    </w:p>
    <w:p w:rsidR="00384B3F" w:rsidRDefault="00384B3F">
      <w:pPr>
        <w:pStyle w:val="BillDots"/>
      </w:pPr>
      <w:r>
        <w:t>S. Printed 3/25/10--H.</w:t>
      </w:r>
    </w:p>
    <w:p w:rsidR="00384B3F" w:rsidRDefault="00384B3F">
      <w:pPr>
        <w:pStyle w:val="BillDots"/>
      </w:pPr>
      <w:r>
        <w:t>Read the first time January 27, 2009.</w:t>
      </w:r>
    </w:p>
    <w:p w:rsidR="00384B3F" w:rsidRPr="00384B3F" w:rsidRDefault="00384B3F" w:rsidP="00384B3F">
      <w:pPr>
        <w:pStyle w:val="BillDots"/>
        <w:jc w:val="center"/>
      </w:pPr>
      <w:r>
        <w:rPr>
          <w:u w:val="single"/>
        </w:rPr>
        <w:t>            </w:t>
      </w:r>
    </w:p>
    <w:p w:rsidR="00384B3F" w:rsidRDefault="00384B3F">
      <w:pPr>
        <w:pStyle w:val="BillDots"/>
      </w:pPr>
    </w:p>
    <w:p w:rsidR="00530D09" w:rsidRDefault="00530D09">
      <w:pPr>
        <w:pStyle w:val="BillDots"/>
        <w:sectPr w:rsidR="00530D09" w:rsidSect="00530D0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01105" w:rsidRDefault="00701105">
      <w:pPr>
        <w:pStyle w:val="BillDots"/>
      </w:pPr>
    </w:p>
    <w:p w:rsidR="00701105" w:rsidRDefault="00701105">
      <w:pPr>
        <w:pStyle w:val="Numbersforbills"/>
      </w:pPr>
    </w:p>
    <w:p w:rsidR="00701105" w:rsidRDefault="00701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105" w:rsidRDefault="00701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105" w:rsidRDefault="00701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105" w:rsidRDefault="00701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105" w:rsidRDefault="00701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105" w:rsidRDefault="00701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105" w:rsidRDefault="0044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701105" w:rsidRDefault="00701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105" w:rsidRDefault="0044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TO AMEND SECTION 40</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360, AS AMENDED, CODE OF LAWS OF SOUTH CAROLINA, 1976, RELATING TO EXEMPTIONS FROM STATUTES APPLICABLE TO LICENSED CONTRACTORS, SO AS TO PROVIDE AN OWNER OF RESIDENTIAL PROPERTY WHO MAKES CERTAIN IMPROVEMENTS TO THE PROPERTY OWES TO A SUBSEQUENT OWNER OF THE PROPERTY THE SAME DUTY AS A LICENSED CONTRACTOR TO COMPLY WITH APPLICABLE BUILDING CODES AND STANDARDS.</w:t>
      </w:r>
    </w:p>
    <w:p w:rsidR="00384B3F" w:rsidRDefault="00384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701105" w:rsidRDefault="00701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105" w:rsidRDefault="0044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01105" w:rsidRDefault="00701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105" w:rsidRDefault="0044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w:t>
      </w: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360(A)(5) of the 1976 Code is amended to read:</w:t>
      </w:r>
    </w:p>
    <w:p w:rsidR="00701105" w:rsidRDefault="00701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01105" w:rsidRDefault="0044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“(5)</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t xml:space="preserve">An owner of residential property who improves the property or who builds or improves structures or appurtenances on the property if he does the work himself, with his own employees, or with licensed contractors;  provided that the structure, group of structures, or appurtenances, including the improvements, are intended for the owner’s sole occupancy or occupancy by the owner’s family and are not intended for sale or rent, and </w:t>
      </w:r>
      <w:r>
        <w:rPr>
          <w:rFonts w:eastAsiaTheme="minorHAnsi"/>
          <w:strike/>
          <w:color w:val="000000" w:themeColor="text1"/>
          <w:szCs w:val="22"/>
          <w:u w:color="000000" w:themeColor="text1"/>
        </w:rPr>
        <w:t>provided further,</w:t>
      </w:r>
      <w:r>
        <w:rPr>
          <w:rFonts w:eastAsiaTheme="minorHAnsi"/>
          <w:color w:val="000000" w:themeColor="text1"/>
          <w:szCs w:val="22"/>
          <w:u w:color="000000" w:themeColor="text1"/>
        </w:rPr>
        <w:t xml:space="preserve"> that the general public does not have access to this structure.</w:t>
      </w:r>
    </w:p>
    <w:p w:rsidR="00701105" w:rsidRDefault="0044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t>In an action brought under this chapter, proof of the sale or rent or the offering for sale or rent of the structure by the owner</w:t>
      </w:r>
      <w:r>
        <w:rPr>
          <w:rFonts w:eastAsiaTheme="minorHAnsi"/>
          <w:color w:val="000000" w:themeColor="text1"/>
          <w:szCs w:val="22"/>
          <w:u w:color="000000" w:themeColor="text1"/>
        </w:rPr>
        <w:noBreakHyphen/>
        <w:t>builder within two years after completion or issuance of a certificate of occupancy is prima facie evidence that the project was undertaken for the purpose of sale or rent and is subject to the penalties provided in this chapter.</w:t>
      </w:r>
    </w:p>
    <w:p w:rsidR="00701105" w:rsidRDefault="0044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240"/>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t>As used in this item, ‘sale’ or ‘rent’ includes an arrangement by which an owner receives compensation in money, provisions, chattel, or labor from the occupancy</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 or </w:t>
      </w:r>
      <w:r>
        <w:rPr>
          <w:rFonts w:eastAsiaTheme="minorHAnsi"/>
          <w:strike/>
          <w:color w:val="000000" w:themeColor="text1"/>
          <w:szCs w:val="22"/>
          <w:u w:color="000000" w:themeColor="text1"/>
        </w:rPr>
        <w:t>the</w:t>
      </w:r>
      <w:r>
        <w:rPr>
          <w:rFonts w:eastAsiaTheme="minorHAnsi"/>
          <w:color w:val="000000" w:themeColor="text1"/>
          <w:szCs w:val="22"/>
          <w:u w:color="000000" w:themeColor="text1"/>
        </w:rPr>
        <w:t xml:space="preserve"> transfer of the property or </w:t>
      </w:r>
      <w:r>
        <w:rPr>
          <w:rFonts w:eastAsiaTheme="minorHAnsi"/>
          <w:strike/>
          <w:color w:val="000000" w:themeColor="text1"/>
          <w:szCs w:val="22"/>
          <w:u w:color="000000" w:themeColor="text1"/>
        </w:rPr>
        <w:t>the structures</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 structure</w:t>
      </w:r>
      <w:r>
        <w:rPr>
          <w:rFonts w:eastAsiaTheme="minorHAnsi"/>
          <w:color w:val="000000" w:themeColor="text1"/>
          <w:szCs w:val="22"/>
          <w:u w:color="000000" w:themeColor="text1"/>
        </w:rPr>
        <w:t xml:space="preserve"> on the property</w:t>
      </w:r>
      <w:r>
        <w:rPr>
          <w:rFonts w:eastAsiaTheme="minorHAnsi"/>
          <w:color w:val="000000" w:themeColor="text1"/>
          <w:szCs w:val="22"/>
          <w:u w:val="single" w:color="000000" w:themeColor="text1"/>
        </w:rPr>
        <w:t>.</w:t>
      </w:r>
    </w:p>
    <w:p w:rsidR="00701105" w:rsidRDefault="0044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B3D0B" w:rsidRPr="00451BCF">
        <w:tab/>
      </w:r>
      <w:r w:rsidR="00FB3D0B" w:rsidRPr="00451BCF">
        <w:rPr>
          <w:u w:val="single"/>
        </w:rPr>
        <w:t>(d)</w:t>
      </w:r>
      <w:r w:rsidR="00FB3D0B" w:rsidRPr="00451BCF">
        <w:tab/>
      </w:r>
      <w:r w:rsidR="00FB3D0B" w:rsidRPr="00451BCF">
        <w:rPr>
          <w:u w:val="single"/>
        </w:rPr>
        <w:t>To qualify for the exemption under this section, a owner must comply with all applicable laws, ordinances, building codes, and zoning regulations including, but not limited to, Section 40-59-260.</w:t>
      </w:r>
      <w:r w:rsidR="00384B3F">
        <w:t>”</w:t>
      </w:r>
    </w:p>
    <w:p w:rsidR="00701105" w:rsidRDefault="00701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105" w:rsidRDefault="0044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01105" w:rsidRDefault="0044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01105" w:rsidRDefault="00701105" w:rsidP="00A22D16">
      <w:pPr>
        <w:suppressAutoHyphens/>
      </w:pPr>
    </w:p>
    <w:sectPr w:rsidR="00701105" w:rsidSect="00530D0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1105" w:rsidRDefault="00442681">
      <w:r>
        <w:separator/>
      </w:r>
    </w:p>
  </w:endnote>
  <w:endnote w:type="continuationSeparator" w:id="0">
    <w:p w:rsidR="00701105" w:rsidRDefault="004426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9F9B50B-A7EA-41BD-BC4F-2EEC6F3F1CF9}"/>
    <w:embedBold r:id="rId2" w:fontKey="{5A862A68-2C0E-4E3E-A6A6-6F6C181F80E4}"/>
  </w:font>
  <w:font w:name="Calibri">
    <w:panose1 w:val="020F0502020204030204"/>
    <w:charset w:val="00"/>
    <w:family w:val="swiss"/>
    <w:pitch w:val="variable"/>
    <w:sig w:usb0="A00002EF" w:usb1="4000207B" w:usb2="00000000" w:usb3="00000000" w:csb0="0000009F" w:csb1="00000000"/>
    <w:embedRegular r:id="rId3" w:fontKey="{AE67258D-9858-4286-863D-4BE0D6036F70}"/>
  </w:font>
  <w:font w:name="Tahoma">
    <w:panose1 w:val="020B0604030504040204"/>
    <w:charset w:val="00"/>
    <w:family w:val="swiss"/>
    <w:pitch w:val="variable"/>
    <w:sig w:usb0="61002A87" w:usb1="80000000" w:usb2="00000008" w:usb3="00000000" w:csb0="000101FF" w:csb1="00000000"/>
    <w:embedRegular r:id="rId4" w:fontKey="{0512A2DC-6963-4075-9B9C-889A2A7BCD6B}"/>
  </w:font>
  <w:font w:name="Cambria">
    <w:panose1 w:val="02040503050406030204"/>
    <w:charset w:val="00"/>
    <w:family w:val="roman"/>
    <w:pitch w:val="variable"/>
    <w:sig w:usb0="A00002EF" w:usb1="4000004B" w:usb2="00000000" w:usb3="00000000" w:csb0="0000009F" w:csb1="00000000"/>
    <w:embedRegular r:id="rId5" w:fontKey="{0C3E46E7-133F-4B9E-9D49-0CF9F0AA8D3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105" w:rsidRDefault="00442681">
    <w:pPr>
      <w:pStyle w:val="Footer"/>
      <w:tabs>
        <w:tab w:val="clear" w:pos="4680"/>
        <w:tab w:val="clear" w:pos="9360"/>
        <w:tab w:val="center" w:pos="2995"/>
      </w:tabs>
      <w:spacing w:before="120"/>
    </w:pPr>
    <w:r>
      <w:t>[3354</w:t>
    </w:r>
    <w:r w:rsidR="00530D09">
      <w:t>-</w:t>
    </w:r>
    <w:fldSimple w:instr=" PAGE  \* MERGEFORMAT ">
      <w:r w:rsidR="00A22D16">
        <w:rPr>
          <w:noProof/>
        </w:rPr>
        <w:t>1</w:t>
      </w:r>
    </w:fldSimple>
    <w:r w:rsidR="00530D0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0D09" w:rsidRDefault="00530D09">
    <w:pPr>
      <w:pStyle w:val="Footer"/>
      <w:tabs>
        <w:tab w:val="clear" w:pos="4680"/>
        <w:tab w:val="clear" w:pos="9360"/>
        <w:tab w:val="center" w:pos="2995"/>
      </w:tabs>
      <w:spacing w:before="120"/>
    </w:pPr>
    <w:r>
      <w:t>[3354]</w:t>
    </w:r>
    <w:r>
      <w:tab/>
    </w:r>
    <w:fldSimple w:instr=" PAGE  \* MERGEFORMAT ">
      <w:r w:rsidR="00A22D1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1105" w:rsidRDefault="00442681">
      <w:r>
        <w:separator/>
      </w:r>
    </w:p>
  </w:footnote>
  <w:footnote w:type="continuationSeparator" w:id="0">
    <w:p w:rsidR="00701105" w:rsidRDefault="0044268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186AB09"/>
    <w:docVar w:name="CoverBillType" w:val="b"/>
    <w:docVar w:name="docpath" w:val="L:\Council\bills\GGS\22186AB09.DOCX"/>
    <w:docVar w:name="dvBillNumber" w:val="3354"/>
    <w:docVar w:name="dvBillNumberPrefix" w:val="H. "/>
    <w:docVar w:name="dvOriginalBody" w:val="House"/>
    <w:docVar w:name="dvSteno" w:val="GGS"/>
    <w:docVar w:name="NameofBody" w:val="h"/>
    <w:docVar w:name="vgroup2" w:val="Council"/>
  </w:docVars>
  <w:rsids>
    <w:rsidRoot w:val="00701105"/>
    <w:rsid w:val="00122FB7"/>
    <w:rsid w:val="00124E83"/>
    <w:rsid w:val="00384B3F"/>
    <w:rsid w:val="00442681"/>
    <w:rsid w:val="00530D09"/>
    <w:rsid w:val="00701105"/>
    <w:rsid w:val="00722ABD"/>
    <w:rsid w:val="00A22D16"/>
    <w:rsid w:val="00DE0F9C"/>
    <w:rsid w:val="00FB3D0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110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0110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1105"/>
    <w:rPr>
      <w:rFonts w:eastAsia="Times New Roman" w:cs="Times New Roman"/>
      <w:b/>
      <w:sz w:val="30"/>
      <w:szCs w:val="20"/>
    </w:rPr>
  </w:style>
  <w:style w:type="paragraph" w:styleId="Header">
    <w:name w:val="header"/>
    <w:basedOn w:val="Normal"/>
    <w:link w:val="HeaderChar"/>
    <w:uiPriority w:val="99"/>
    <w:semiHidden/>
    <w:unhideWhenUsed/>
    <w:rsid w:val="00701105"/>
    <w:pPr>
      <w:tabs>
        <w:tab w:val="center" w:pos="4320"/>
        <w:tab w:val="right" w:pos="8640"/>
      </w:tabs>
    </w:pPr>
  </w:style>
  <w:style w:type="character" w:customStyle="1" w:styleId="HeaderChar">
    <w:name w:val="Header Char"/>
    <w:basedOn w:val="DefaultParagraphFont"/>
    <w:link w:val="Header"/>
    <w:uiPriority w:val="99"/>
    <w:semiHidden/>
    <w:rsid w:val="00701105"/>
    <w:rPr>
      <w:rFonts w:eastAsia="Times New Roman" w:cs="Times New Roman"/>
      <w:szCs w:val="20"/>
    </w:rPr>
  </w:style>
  <w:style w:type="paragraph" w:styleId="Footer">
    <w:name w:val="footer"/>
    <w:basedOn w:val="Normal"/>
    <w:link w:val="FooterChar"/>
    <w:uiPriority w:val="99"/>
    <w:unhideWhenUsed/>
    <w:rsid w:val="00701105"/>
    <w:pPr>
      <w:tabs>
        <w:tab w:val="center" w:pos="4680"/>
        <w:tab w:val="right" w:pos="9360"/>
      </w:tabs>
    </w:pPr>
  </w:style>
  <w:style w:type="character" w:customStyle="1" w:styleId="FooterChar">
    <w:name w:val="Footer Char"/>
    <w:basedOn w:val="DefaultParagraphFont"/>
    <w:link w:val="Footer"/>
    <w:uiPriority w:val="99"/>
    <w:rsid w:val="00701105"/>
    <w:rPr>
      <w:rFonts w:eastAsia="Times New Roman" w:cs="Times New Roman"/>
      <w:szCs w:val="20"/>
    </w:rPr>
  </w:style>
  <w:style w:type="character" w:styleId="PageNumber">
    <w:name w:val="page number"/>
    <w:basedOn w:val="DefaultParagraphFont"/>
    <w:uiPriority w:val="99"/>
    <w:semiHidden/>
    <w:unhideWhenUsed/>
    <w:rsid w:val="00701105"/>
  </w:style>
  <w:style w:type="character" w:styleId="LineNumber">
    <w:name w:val="line number"/>
    <w:basedOn w:val="DefaultParagraphFont"/>
    <w:uiPriority w:val="99"/>
    <w:semiHidden/>
    <w:unhideWhenUsed/>
    <w:rsid w:val="00701105"/>
  </w:style>
  <w:style w:type="paragraph" w:customStyle="1" w:styleId="BillDots">
    <w:name w:val="Bill Dots"/>
    <w:basedOn w:val="Normal"/>
    <w:qFormat/>
    <w:rsid w:val="0070110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701105"/>
    <w:pPr>
      <w:tabs>
        <w:tab w:val="right" w:pos="5904"/>
      </w:tabs>
    </w:pPr>
  </w:style>
  <w:style w:type="paragraph" w:styleId="BalloonText">
    <w:name w:val="Balloon Text"/>
    <w:basedOn w:val="Normal"/>
    <w:link w:val="BalloonTextChar"/>
    <w:uiPriority w:val="99"/>
    <w:semiHidden/>
    <w:unhideWhenUsed/>
    <w:rsid w:val="00701105"/>
    <w:rPr>
      <w:rFonts w:ascii="Tahoma" w:hAnsi="Tahoma" w:cs="Tahoma"/>
      <w:sz w:val="16"/>
      <w:szCs w:val="16"/>
    </w:rPr>
  </w:style>
  <w:style w:type="character" w:customStyle="1" w:styleId="BalloonTextChar">
    <w:name w:val="Balloon Text Char"/>
    <w:basedOn w:val="DefaultParagraphFont"/>
    <w:link w:val="BalloonText"/>
    <w:uiPriority w:val="99"/>
    <w:semiHidden/>
    <w:rsid w:val="00701105"/>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722AB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29B696-3723-4B7C-886A-07623171E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365</Words>
  <Characters>1873</Characters>
  <Application>Microsoft Office Word</Application>
  <DocSecurity>0</DocSecurity>
  <Lines>72</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lisacourtney</cp:lastModifiedBy>
  <cp:revision>2</cp:revision>
  <cp:lastPrinted>2010-03-04T17:09:00Z</cp:lastPrinted>
  <dcterms:created xsi:type="dcterms:W3CDTF">2010-03-25T22:49:00Z</dcterms:created>
  <dcterms:modified xsi:type="dcterms:W3CDTF">2010-03-25T22:49:00Z</dcterms:modified>
</cp:coreProperties>
</file>