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44-34-20, CODE OF LAWS OF SOUTH CAROLINA, 1976, RELATING TO A TATTOO FACILITY ENGAGING IN ANOTHER RETAIL BUSINESS, SO AS TO PROVIDE A TATTOO FACILITY MAY PROVIDE THE RETAIL SALE OF MERCHANDISE WITH IMAGES AND LANGUAGE PROMOTING THE ART AND CULTURE OF TATTOOING.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44-34-20(C) of the 1976 Code, as added by Act 250 of 2004,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>
        <w:rPr>
          <w:szCs w:val="24"/>
        </w:rPr>
        <w:t>(C)</w:t>
      </w:r>
      <w:r>
        <w:rPr>
          <w:szCs w:val="24"/>
        </w:rPr>
        <w:tab/>
        <w:t xml:space="preserve">A tattoo facility </w:t>
      </w:r>
      <w:r>
        <w:rPr>
          <w:strike/>
          <w:szCs w:val="24"/>
        </w:rPr>
        <w:t>may</w:t>
      </w:r>
      <w:r>
        <w:rPr>
          <w:szCs w:val="24"/>
        </w:rPr>
        <w:t xml:space="preserve">only </w:t>
      </w:r>
      <w:r>
        <w:rPr>
          <w:szCs w:val="24"/>
          <w:u w:val="single"/>
        </w:rPr>
        <w:t>may</w:t>
      </w:r>
      <w:r>
        <w:rPr>
          <w:szCs w:val="24"/>
        </w:rPr>
        <w:t xml:space="preserve"> provide tattooing </w:t>
      </w:r>
      <w:r>
        <w:rPr>
          <w:szCs w:val="24"/>
          <w:u w:val="single"/>
        </w:rPr>
        <w:t>and the retail sale of merchandise with images and language promoting the art and culture of tattooing,</w:t>
      </w:r>
      <w:r>
        <w:rPr>
          <w:szCs w:val="24"/>
        </w:rPr>
        <w:t xml:space="preserve"> </w:t>
      </w:r>
      <w:r>
        <w:rPr>
          <w:strike/>
          <w:szCs w:val="24"/>
        </w:rPr>
        <w:t>and</w:t>
      </w:r>
      <w:r>
        <w:rPr>
          <w:szCs w:val="24"/>
          <w:u w:val="single"/>
        </w:rPr>
        <w:t>but</w:t>
      </w:r>
      <w:r>
        <w:rPr>
          <w:szCs w:val="24"/>
        </w:rPr>
        <w:t xml:space="preserve"> may not engage in </w:t>
      </w:r>
      <w:r>
        <w:rPr>
          <w:strike/>
          <w:szCs w:val="24"/>
        </w:rPr>
        <w:t>any other</w:t>
      </w:r>
      <w:r>
        <w:rPr>
          <w:szCs w:val="24"/>
          <w:u w:val="single"/>
        </w:rPr>
        <w:t>another</w:t>
      </w:r>
      <w:r>
        <w:rPr>
          <w:szCs w:val="24"/>
        </w:rPr>
        <w:t xml:space="preserve"> retail business including, but not limited to, the sale of goods or performing </w:t>
      </w:r>
      <w:r>
        <w:rPr>
          <w:strike/>
          <w:szCs w:val="24"/>
        </w:rPr>
        <w:t>any</w:t>
      </w:r>
      <w:r>
        <w:rPr>
          <w:szCs w:val="24"/>
          <w:u w:val="single"/>
        </w:rPr>
        <w:t>a</w:t>
      </w:r>
      <w:r>
        <w:rPr>
          <w:szCs w:val="24"/>
        </w:rPr>
        <w:t xml:space="preserve"> form of body piercing other than tattooing.”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056331-6442-4ADA-B7F3-78258642239B}"/>
    <w:embedBold r:id="rId2" w:fontKey="{BFEBD617-2D77-4613-9C3F-69112F2933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E4AD200-6F94-4091-99A0-A94372CB0AD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649E9E8-02A1-4F09-BB95-B8310E45E5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159AB09"/>
    <w:docVar w:name="CoverBillType" w:val="b"/>
    <w:docVar w:name="docpath" w:val="L:\Council\bills\MS\7159AB09.DOCX"/>
    <w:docVar w:name="dvBillNumber" w:val="3429"/>
    <w:docVar w:name="dvBillNumberPrefix" w:val="H. "/>
    <w:docVar w:name="dvOriginalBody" w:val="House"/>
    <w:docVar w:name="dvSteno" w:val="M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NSC</cp:lastModifiedBy>
  <cp:revision>2</cp:revision>
  <cp:lastPrinted>2009-01-29T15:14:00Z</cp:lastPrinted>
  <dcterms:created xsi:type="dcterms:W3CDTF">2009-02-04T15:30:00Z</dcterms:created>
  <dcterms:modified xsi:type="dcterms:W3CDTF">2009-02-04T15:30:00Z</dcterms:modified>
</cp:coreProperties>
</file>