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95(A)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It is unlawful to inflict great bodily injury upon a child. A person who violates this subsection is guilty of a felony and, upon conviction, must be imprisoned not more than twenty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 not less than two years and not </w:t>
      </w:r>
      <w:r>
        <w:rPr>
          <w:u w:val="single"/>
        </w:rPr>
        <w:lastRenderedPageBreak/>
        <w:t>more than twenty years. No part of a sentence imposed pursuant to this subsection may be suspended.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13,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13</w:t>
      </w:r>
      <w:r>
        <w:noBreakHyphen/>
        <w:t>825.</w:t>
      </w:r>
      <w:r>
        <w:tab/>
        <w:t>(A)</w:t>
      </w:r>
      <w:r>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58E1CD-A897-4A31-AF8B-9861B1A23D0A}"/>
    <w:embedBold r:id="rId2" w:fontKey="{A4468036-7263-4052-8830-3AD070356467}"/>
  </w:font>
  <w:font w:name="Calibri">
    <w:panose1 w:val="020F0502020204030204"/>
    <w:charset w:val="00"/>
    <w:family w:val="swiss"/>
    <w:pitch w:val="variable"/>
    <w:sig w:usb0="A00002EF" w:usb1="4000207B" w:usb2="00000000" w:usb3="00000000" w:csb0="0000009F" w:csb1="00000000"/>
    <w:embedRegular r:id="rId3" w:fontKey="{F31D3874-6D48-417A-9D19-9933765A5449}"/>
  </w:font>
  <w:font w:name="Cambria">
    <w:panose1 w:val="02040503050406030204"/>
    <w:charset w:val="00"/>
    <w:family w:val="roman"/>
    <w:pitch w:val="variable"/>
    <w:sig w:usb0="A00002EF" w:usb1="4000004B" w:usb2="00000000" w:usb3="00000000" w:csb0="0000009F" w:csb1="00000000"/>
    <w:embedRegular r:id="rId4" w:fontKey="{4AA21B46-E7A3-496F-9639-198DAC22DC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7AC09"/>
    <w:docVar w:name="CoverBillType" w:val="b"/>
    <w:docVar w:name="docpath" w:val="L:\Council\bills\NBD\11187AC09.DOCX"/>
    <w:docVar w:name="dvBillNumber" w:val="343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Company> </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2009-01-30T20:44:00Z</cp:lastPrinted>
  <dcterms:created xsi:type="dcterms:W3CDTF">2009-02-04T15:32:00Z</dcterms:created>
  <dcterms:modified xsi:type="dcterms:W3CDTF">2009-02-04T15:32:00Z</dcterms:modified>
</cp:coreProperties>
</file>