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7</w:t>
      </w:r>
      <w:r>
        <w:noBreakHyphen/>
        <w:t>20, AS AMENDED, CODE OF LAWS OF SOUTH CAROLINA, 1976, RELATING TO HANDWRITTEN AND ELECTRONIC TRAFFIC TICKETS, SO AS TO DELETE THE REQUIREMENTS THAT THE VARIOUS COPIES OF THE TRAFFIC TICKETS BE CERTAIN COLORS.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7</w:t>
      </w:r>
      <w:r>
        <w:noBreakHyphen/>
        <w:t>20 of the 1976 Code, as last amended by Act 68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7</w:t>
      </w:r>
      <w:r>
        <w:noBreakHyphen/>
        <w:t>20.</w:t>
      </w:r>
      <w:r>
        <w:tab/>
        <w:t xml:space="preserve">Each ticket </w:t>
      </w:r>
      <w:r>
        <w:rPr>
          <w:strike/>
        </w:rPr>
        <w:t>shall</w:t>
      </w:r>
      <w:r>
        <w:rPr>
          <w:u w:val="single"/>
        </w:rPr>
        <w:t>must</w:t>
      </w:r>
      <w:r>
        <w:t xml:space="preserve"> have a unique identifying number.    Each printed copy must be labeled at the bottom with the purpose of the copy.  A handwritten traffic ticket must consist of four copies, one of which </w:t>
      </w:r>
      <w:r>
        <w:rPr>
          <w:strike/>
        </w:rPr>
        <w:t>must be blue and</w:t>
      </w:r>
      <w:r>
        <w:t xml:space="preserve">must be given to the vehicle operator who is the alleged traffic violator;  one of which </w:t>
      </w:r>
      <w:r>
        <w:rPr>
          <w:strike/>
        </w:rPr>
        <w:t>must be yellow and</w:t>
      </w:r>
      <w:r>
        <w:t xml:space="preserve">must be dispatched to the Department of Motor Vehicles for its records and for audit purposes;  one of which </w:t>
      </w:r>
      <w:r>
        <w:rPr>
          <w:strike/>
        </w:rPr>
        <w:t>must be white and</w:t>
      </w:r>
      <w:r>
        <w:t xml:space="preserve">must be dispatched to the police agency of which the arresting officer is a part;  and one of which </w:t>
      </w:r>
      <w:r>
        <w:rPr>
          <w:strike/>
        </w:rPr>
        <w:t>must be green and</w:t>
      </w:r>
      <w:r>
        <w:t>must be retained by the trial officer for his records.  An electronic traffic ticket must consist of at least one</w:t>
      </w:r>
      <w:r>
        <w:rPr>
          <w:strike/>
        </w:rPr>
        <w:t>, blue</w:t>
      </w:r>
      <w:r>
        <w:t xml:space="preserve"> printed copy that must be given to the vehicle operator who is the alleged traffic violator and as many as three additional </w:t>
      </w:r>
      <w:r>
        <w:rPr>
          <w:strike/>
        </w:rPr>
        <w:t>white</w:t>
      </w:r>
      <w:r>
        <w:t>printed copies if needed to communicate with the Department of Motor Vehicles, the police agency, and the trial officer.”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F5D9E5-5ED7-4064-A4BD-32871D159087}"/>
    <w:embedBold r:id="rId2" w:fontKey="{4F405D90-8281-4FA1-A389-28CDEA60D784}"/>
  </w:font>
  <w:font w:name="Calibri">
    <w:panose1 w:val="020F0502020204030204"/>
    <w:charset w:val="00"/>
    <w:family w:val="swiss"/>
    <w:pitch w:val="variable"/>
    <w:sig w:usb0="A00002EF" w:usb1="4000207B" w:usb2="00000000" w:usb3="00000000" w:csb0="0000009F" w:csb1="00000000"/>
    <w:embedRegular r:id="rId3" w:fontKey="{7457D2B1-7AD5-41C0-B3F4-279D5B73C7C5}"/>
  </w:font>
  <w:font w:name="Cambria">
    <w:panose1 w:val="02040503050406030204"/>
    <w:charset w:val="00"/>
    <w:family w:val="roman"/>
    <w:pitch w:val="variable"/>
    <w:sig w:usb0="A00002EF" w:usb1="4000004B" w:usb2="00000000" w:usb3="00000000" w:csb0="0000009F" w:csb1="00000000"/>
    <w:embedRegular r:id="rId4" w:fontKey="{C8E2C218-3BA8-4C6B-96E7-ACD28B3654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73AHB09"/>
    <w:docVar w:name="CoverBillType" w:val="b"/>
    <w:docVar w:name="docpath" w:val="L:\Council\bills\MS\7173AHB09.DOCX"/>
    <w:docVar w:name="dvBillNumber" w:val="3453"/>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219</Words>
  <Characters>1251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2009-02-04T15:32:00Z</cp:lastPrinted>
  <dcterms:created xsi:type="dcterms:W3CDTF">2009-02-05T15:45:00Z</dcterms:created>
  <dcterms:modified xsi:type="dcterms:W3CDTF">2009-02-05T15:45:00Z</dcterms:modified>
</cp:coreProperties>
</file>