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23</w:t>
      </w:r>
      <w:r>
        <w:noBreakHyphen/>
        <w:t>420, AS AMENDED, CODE OF LAWS OF SOUTH CAROLINA, 1976, RELATING TO CARRYING OR DISPLAYING FIREARMS ON PROPERTY OWNED, OPERATED, OR CONTROLLED BY A PRIVATE OR PUBLIC EDUCATIONAL INSTITUTION, SO AS TO PROVIDE THAT THIS SECTION DOES NOT APPLY TO A PERSON WHO IS AUTHORIZED TO CARRY A CONCEALED WEAPON WHEN THE WEAPON IS INSIDE A MOTOR VEHICLE; TO AMEND SECTION 16</w:t>
      </w:r>
      <w:r>
        <w:noBreakHyphen/>
        <w:t>23</w:t>
      </w:r>
      <w:r>
        <w:noBreakHyphen/>
        <w:t>430, RELATING TO THE CARRYING OF WEAPONS ON SCHOOL PROPERTY, SO AS TO PROVIDE THAT THIS SECTION DOES NOT APPLY TO A PERSON WHO IS AUTHORIZED TO CARRY A CONCEALED WEAPON WHEN THE WEAPON IS INSIDE A MOTOR VEHICLE; AND TO AMEND SECTION 16</w:t>
      </w:r>
      <w:r>
        <w:noBreakHyphen/>
        <w:t>23</w:t>
      </w:r>
      <w:r>
        <w:noBreakHyphen/>
        <w:t>465, RELATING TO PENALTIES ASSOCIATED WITH THE UNLAWFUL CARRYING OF A PISTOL OR FIREARM INTO A BUSINESS THAT SELLS ALCOHOLIC BEVERAGES, SO AS TO DELETE THE PROVISION THAT REQUIRES THE REVOCATION OF THE CONCEALED WEAPON PERMIT OF A HOLDER WHO VIOLATES THIS SECTION, AND TO PROVIDE THAT THIS SECTION DOES NOT APPLY TO A PERSON WHO IS AUTHORIZED TO CARRY A CONCEALED WEAPON WHEN THE WEAPON IS INSIDE A MOTOR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23</w:t>
      </w:r>
      <w:r>
        <w:noBreakHyphen/>
        <w:t>420 of the 1976 Code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lastRenderedPageBreak/>
        <w:tab/>
        <w:t>“</w:t>
      </w:r>
      <w:r>
        <w:rPr>
          <w:szCs w:val="24"/>
        </w:rPr>
        <w:t>(G)</w:t>
      </w:r>
      <w:r>
        <w:rPr>
          <w:szCs w:val="24"/>
        </w:rPr>
        <w:tab/>
        <w:t>This section does not apply to a person who is authorized to carry a concealed weapon pursuant to Article 4, Chapter 31, Title 23 when the weapon remains inside an attended or locked motor vehicle and is possessed in compliance with Section 16</w:t>
      </w:r>
      <w:r>
        <w:rPr>
          <w:szCs w:val="24"/>
        </w:rPr>
        <w:noBreakHyphen/>
        <w:t>23</w:t>
      </w:r>
      <w:r>
        <w:rPr>
          <w:szCs w:val="24"/>
        </w:rPr>
        <w:noBreakHyphen/>
        <w:t>20(9) or Section 16</w:t>
      </w:r>
      <w:r>
        <w:rPr>
          <w:szCs w:val="24"/>
        </w:rPr>
        <w:noBreakHyphen/>
        <w:t>23</w:t>
      </w:r>
      <w:r>
        <w:rPr>
          <w:szCs w:val="24"/>
        </w:rPr>
        <w:noBreakHyphen/>
        <w:t xml:space="preserve">20(12).”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23</w:t>
      </w:r>
      <w:r>
        <w:noBreakHyphen/>
        <w:t>430 of the 1976 code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zCs w:val="24"/>
        </w:rPr>
        <w:t>(3)</w:t>
      </w:r>
      <w:r>
        <w:rPr>
          <w:szCs w:val="24"/>
        </w:rPr>
        <w:tab/>
        <w:t>This section does not apply to a person who is authorized to carry a concealed weapon pursuant to Article 4, Chapter 31, Title 23 when the weapon remains inside an attended or locked motor vehicle and is possessed in compliance with Section 16</w:t>
      </w:r>
      <w:r>
        <w:rPr>
          <w:szCs w:val="24"/>
        </w:rPr>
        <w:noBreakHyphen/>
        <w:t>23</w:t>
      </w:r>
      <w:r>
        <w:rPr>
          <w:szCs w:val="24"/>
        </w:rPr>
        <w:noBreakHyphen/>
        <w:t>20(9) or Section 16</w:t>
      </w:r>
      <w:r>
        <w:rPr>
          <w:szCs w:val="24"/>
        </w:rPr>
        <w:noBreakHyphen/>
        <w:t>23</w:t>
      </w:r>
      <w:r>
        <w:rPr>
          <w:szCs w:val="24"/>
        </w:rPr>
        <w:noBreakHyphen/>
        <w:t>20(12).”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23</w:t>
      </w:r>
      <w:r>
        <w:noBreakHyphen/>
        <w:t>465 of the 1976 code, as last amended by Act 274 if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465.</w:t>
      </w:r>
      <w:r>
        <w:tab/>
      </w:r>
      <w:r>
        <w:tab/>
      </w:r>
      <w:r>
        <w:rPr>
          <w:szCs w:val="24"/>
        </w:rPr>
        <w:t>In addition to the penalties provided for by Sections 16</w:t>
      </w:r>
      <w:r>
        <w:rPr>
          <w:szCs w:val="24"/>
        </w:rPr>
        <w:noBreakHyphen/>
        <w:t>11</w:t>
      </w:r>
      <w:r>
        <w:rPr>
          <w:szCs w:val="24"/>
        </w:rPr>
        <w:noBreakHyphen/>
        <w:t>330 and 16</w:t>
      </w:r>
      <w:r>
        <w:rPr>
          <w:szCs w:val="24"/>
        </w:rPr>
        <w:noBreakHyphen/>
        <w:t>23</w:t>
      </w:r>
      <w:r>
        <w:rPr>
          <w:szCs w:val="24"/>
        </w:rPr>
        <w:noBreakHyphen/>
        <w:t xml:space="preserve">460 and by Article 1 of Chapter 23 of Title 16, a person convicted of carrying a pistol or firearm into a business which sells alcoholic liquor, beer, or wine for consumption on the premises is guilty of a misdemeanor and, upon conviction, must be fined not more than two thousand dollars or imprisoned not more than three years,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u w:val="single"/>
        </w:rPr>
      </w:pPr>
      <w:r>
        <w:rPr>
          <w:szCs w:val="24"/>
        </w:rPr>
        <w:tab/>
      </w:r>
      <w:r>
        <w:rPr>
          <w:strike/>
          <w:szCs w:val="24"/>
        </w:rPr>
        <w:t>In addition to the penalties described above, a person who violates this section while carrying a concealable weapon pursuant to Article 4, Chapter 31, Title 23, must have his concealed weapon permit revoked.</w:t>
      </w:r>
      <w:r>
        <w:rPr>
          <w:szCs w:val="24"/>
        </w:rPr>
        <w:t xml:space="preserve">  </w:t>
      </w:r>
      <w:r>
        <w:rPr>
          <w:szCs w:val="24"/>
          <w:u w:val="single"/>
        </w:rPr>
        <w:t>This section does not apply to a person who is authorized to carry a concealed weapon when carrying a concealable weapon pursuant to and in compliance with Article 4, Chapter 31, Title 23 unless the person is present in the portion of the business primarily devoted to the dispensing of alcoholic liquor, beer, or wine for consumption on the premises.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EF7DDF-4F4A-42EE-BCE9-88EECC265D76}"/>
    <w:embedBold r:id="rId2" w:fontKey="{DB2DE580-6640-4060-8BFC-11E0B6307B0D}"/>
  </w:font>
  <w:font w:name="Calibri">
    <w:panose1 w:val="020F0502020204030204"/>
    <w:charset w:val="00"/>
    <w:family w:val="swiss"/>
    <w:pitch w:val="variable"/>
    <w:sig w:usb0="A00002EF" w:usb1="4000207B" w:usb2="00000000" w:usb3="00000000" w:csb0="0000009F" w:csb1="00000000"/>
    <w:embedRegular r:id="rId3" w:fontKey="{B5334392-FB8A-49DB-B93D-4FE0F4F32DA1}"/>
  </w:font>
  <w:font w:name="Cambria">
    <w:panose1 w:val="02040503050406030204"/>
    <w:charset w:val="00"/>
    <w:family w:val="roman"/>
    <w:pitch w:val="variable"/>
    <w:sig w:usb0="A00002EF" w:usb1="4000004B" w:usb2="00000000" w:usb3="00000000" w:csb0="0000009F" w:csb1="00000000"/>
    <w:embedRegular r:id="rId4" w:fontKey="{7A3271E9-E9B4-4125-8417-848EB52C96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694CM09"/>
    <w:docVar w:name="CoverBillType" w:val="b"/>
    <w:docVar w:name="docpath" w:val="L:\Council\bills\SWB\5694CM09.DOCX"/>
    <w:docVar w:name="dvBillNumber" w:val="347"/>
    <w:docVar w:name="dvBillNumberPrefix" w:val="S. "/>
    <w:docVar w:name="dvOriginalBody" w:val="Senate"/>
    <w:docVar w:name="dvSteno" w:val="SWB"/>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2595</Characters>
  <Application>Microsoft Office Word</Application>
  <DocSecurity>0</DocSecurity>
  <Lines>21</Lines>
  <Paragraphs>6</Paragraphs>
  <ScaleCrop>false</ScaleCrop>
  <Company> </Company>
  <LinksUpToDate>false</LinksUpToDate>
  <CharactersWithSpaces>3044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dcterms:created xsi:type="dcterms:W3CDTF">2009-01-29T16:55:00Z</dcterms:created>
  <dcterms:modified xsi:type="dcterms:W3CDTF">2009-01-29T16:55:00Z</dcterms:modified>
</cp:coreProperties>
</file>