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22</w:t>
      </w:r>
      <w:r>
        <w:noBreakHyphen/>
        <w:t>5</w:t>
      </w:r>
      <w:r>
        <w:noBreakHyphen/>
        <w:t>510, CODE OF LAWS OF SOUTH CAROLINA, 1976, RELATING TO BOND HEARINGS, SO AS TO PROVIDE A COUNTY MUST PROVIDE A BOND HEARING TO A PERSON CHARGED WITH A BAILABLE OFFENSE WITHIN TWENTY</w:t>
      </w:r>
      <w:r>
        <w:noBreakHyphen/>
        <w:t>FOUR HOURS OF HIS ARREST, TO PROVIDE A COUNTY MUST RELEASE A PERSON CHARGED WITH A BAILABLE OFFENSE WITHIN A SPECIFIC TIME PERIOD DEPENDING ON THE TYPE OF BOND POSTED, AND TO PROVIDE A COUNTY SHALL PAY A PENALTY TO THE PUBLIC DEFENDER’S OFFICE FOR A VIOLATION OF THESE PROVISIONS AND MONTHLY SHALL NOTIFY THE DIRECTOR OF THE SOUTH CAROLINA OFFICE OF COURT ADMINISTRATION OF THE TOTAL VIOLATIONS THAT OCCURRED THE PREVIOUS MONTH.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22</w:t>
      </w:r>
      <w:r>
        <w:noBreakHyphen/>
        <w:t>5</w:t>
      </w:r>
      <w:r>
        <w:noBreakHyphen/>
        <w:t>510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22</w:t>
      </w:r>
      <w:r>
        <w:noBreakHyphen/>
        <w:t>5</w:t>
      </w:r>
      <w:r>
        <w:noBreakHyphen/>
        <w:t>510.</w:t>
      </w:r>
      <w:r>
        <w:tab/>
      </w:r>
      <w:r>
        <w:rPr>
          <w:szCs w:val="24"/>
        </w:rPr>
        <w:t>(A)</w:t>
      </w:r>
      <w:r>
        <w:rPr>
          <w:szCs w:val="24"/>
        </w:rPr>
        <w:tab/>
      </w:r>
      <w:r>
        <w:rPr>
          <w:strike/>
          <w:szCs w:val="24"/>
        </w:rPr>
        <w:t>Magistrates</w:t>
      </w:r>
      <w:r>
        <w:rPr>
          <w:szCs w:val="24"/>
        </w:rPr>
        <w:t xml:space="preserve"> </w:t>
      </w:r>
      <w:r>
        <w:rPr>
          <w:szCs w:val="24"/>
          <w:u w:val="single"/>
        </w:rPr>
        <w:t>A magistrate</w:t>
      </w:r>
      <w:r>
        <w:rPr>
          <w:szCs w:val="24"/>
        </w:rPr>
        <w:t xml:space="preserve"> may </w:t>
      </w:r>
      <w:r>
        <w:rPr>
          <w:strike/>
          <w:szCs w:val="24"/>
        </w:rPr>
        <w:t>admit to</w:t>
      </w:r>
      <w:r>
        <w:rPr>
          <w:szCs w:val="24"/>
        </w:rPr>
        <w:t xml:space="preserve"> </w:t>
      </w:r>
      <w:r>
        <w:rPr>
          <w:szCs w:val="24"/>
          <w:u w:val="single"/>
        </w:rPr>
        <w:t>grant</w:t>
      </w:r>
      <w:r>
        <w:rPr>
          <w:szCs w:val="24"/>
        </w:rPr>
        <w:t xml:space="preserve"> bail </w:t>
      </w:r>
      <w:r>
        <w:rPr>
          <w:szCs w:val="24"/>
          <w:u w:val="single"/>
        </w:rPr>
        <w:t>to</w:t>
      </w:r>
      <w:r>
        <w:rPr>
          <w:szCs w:val="24"/>
        </w:rPr>
        <w:t xml:space="preserve"> a person charged with an offense</w:t>
      </w:r>
      <w:r>
        <w:rPr>
          <w:strike/>
          <w:szCs w:val="24"/>
        </w:rPr>
        <w:t>,</w:t>
      </w:r>
      <w:r>
        <w:rPr>
          <w:szCs w:val="24"/>
        </w:rPr>
        <w:t xml:space="preserve"> </w:t>
      </w:r>
      <w:r>
        <w:rPr>
          <w:szCs w:val="24"/>
          <w:u w:val="single"/>
        </w:rPr>
        <w:t>for which</w:t>
      </w:r>
      <w:r>
        <w:rPr>
          <w:szCs w:val="24"/>
        </w:rPr>
        <w:t xml:space="preserve"> the punishment </w:t>
      </w:r>
      <w:r>
        <w:rPr>
          <w:strike/>
          <w:szCs w:val="24"/>
        </w:rPr>
        <w:t>of which</w:t>
      </w:r>
      <w:r>
        <w:rPr>
          <w:szCs w:val="24"/>
        </w:rPr>
        <w:t xml:space="preserve"> is not death or imprisonment for life;  </w:t>
      </w:r>
      <w:r>
        <w:rPr>
          <w:strike/>
          <w:szCs w:val="24"/>
        </w:rPr>
        <w:t>provided, however</w:t>
      </w:r>
      <w:r>
        <w:rPr>
          <w:szCs w:val="24"/>
        </w:rPr>
        <w:t xml:space="preserve"> </w:t>
      </w:r>
      <w:r>
        <w:rPr>
          <w:szCs w:val="24"/>
          <w:u w:val="single"/>
        </w:rPr>
        <w:t>but</w:t>
      </w:r>
      <w:r>
        <w:rPr>
          <w:szCs w:val="24"/>
        </w:rPr>
        <w:t xml:space="preserve">, with respect to </w:t>
      </w:r>
      <w:r>
        <w:rPr>
          <w:szCs w:val="24"/>
          <w:u w:val="single"/>
        </w:rPr>
        <w:t>a</w:t>
      </w:r>
      <w:r>
        <w:rPr>
          <w:szCs w:val="24"/>
        </w:rPr>
        <w:t xml:space="preserve"> violent </w:t>
      </w:r>
      <w:r>
        <w:rPr>
          <w:strike/>
          <w:szCs w:val="24"/>
        </w:rPr>
        <w:t>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offense</w:t>
      </w:r>
      <w:r>
        <w:rPr>
          <w:szCs w:val="24"/>
        </w:rPr>
        <w:t xml:space="preserve"> as defined by the General Assembly pursuant to Section 15, Article I of the Constitution of South Carolina, </w:t>
      </w:r>
      <w:r>
        <w:rPr>
          <w:strike/>
          <w:szCs w:val="24"/>
        </w:rPr>
        <w:t>magistrates</w:t>
      </w:r>
      <w:r>
        <w:rPr>
          <w:szCs w:val="24"/>
        </w:rPr>
        <w:t xml:space="preserve"> </w:t>
      </w:r>
      <w:r>
        <w:rPr>
          <w:szCs w:val="24"/>
          <w:u w:val="single"/>
        </w:rPr>
        <w:t>a magistrate</w:t>
      </w:r>
      <w:r>
        <w:rPr>
          <w:szCs w:val="24"/>
        </w:rPr>
        <w:t xml:space="preserve"> may deny bail giving due weight to the evidence and </w:t>
      </w:r>
      <w:r>
        <w:rPr>
          <w:strike/>
          <w:szCs w:val="24"/>
        </w:rPr>
        <w:t>to</w:t>
      </w:r>
      <w:r>
        <w:rPr>
          <w:szCs w:val="24"/>
        </w:rPr>
        <w:t xml:space="preserve"> the nature and circumstances of the event.  </w:t>
      </w:r>
      <w:r>
        <w:rPr>
          <w:szCs w:val="24"/>
          <w:u w:val="single"/>
        </w:rPr>
        <w:t>A</w:t>
      </w:r>
      <w:r>
        <w:rPr>
          <w:szCs w:val="24"/>
        </w:rPr>
        <w:t xml:space="preserve"> ‘violent </w:t>
      </w:r>
      <w:r>
        <w:rPr>
          <w:strike/>
          <w:szCs w:val="24"/>
        </w:rPr>
        <w:t>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offense</w:t>
      </w:r>
      <w:r>
        <w:rPr>
          <w:szCs w:val="24"/>
        </w:rPr>
        <w:t xml:space="preserve">’ as used in this section means </w:t>
      </w:r>
      <w:r>
        <w:rPr>
          <w:strike/>
          <w:szCs w:val="24"/>
        </w:rPr>
        <w:t>the 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an offense</w:t>
      </w:r>
      <w:r>
        <w:rPr>
          <w:szCs w:val="24"/>
        </w:rPr>
        <w:t xml:space="preserve"> contained in Section 16</w:t>
      </w:r>
      <w:r>
        <w:rPr>
          <w:szCs w:val="24"/>
        </w:rPr>
        <w:noBreakHyphen/>
        <w:t>1</w:t>
      </w:r>
      <w:r>
        <w:rPr>
          <w:szCs w:val="24"/>
        </w:rPr>
        <w:noBreakHyphen/>
        <w:t xml:space="preserve">60.  If a person under lawful arrest on a charge not </w:t>
      </w:r>
      <w:r>
        <w:rPr>
          <w:szCs w:val="24"/>
        </w:rPr>
        <w:lastRenderedPageBreak/>
        <w:t xml:space="preserve">bailable is brought before a magistrate, the magistrate shall commit the person to jail.  If the offense charged is bailable, the magistrate shall </w:t>
      </w:r>
      <w:r>
        <w:rPr>
          <w:strike/>
          <w:szCs w:val="24"/>
        </w:rPr>
        <w:t>take</w:t>
      </w:r>
      <w:r>
        <w:rPr>
          <w:szCs w:val="24"/>
        </w:rPr>
        <w:t xml:space="preserve"> </w:t>
      </w:r>
      <w:r>
        <w:rPr>
          <w:szCs w:val="24"/>
          <w:u w:val="single"/>
        </w:rPr>
        <w:t>grant bail to a person on their own</w:t>
      </w:r>
      <w:r>
        <w:rPr>
          <w:szCs w:val="24"/>
        </w:rPr>
        <w:t xml:space="preserve"> recognizance with sufficient surety, if </w:t>
      </w:r>
      <w:r>
        <w:rPr>
          <w:strike/>
          <w:szCs w:val="24"/>
        </w:rPr>
        <w:t>it is</w:t>
      </w:r>
      <w:r>
        <w:rPr>
          <w:szCs w:val="24"/>
        </w:rPr>
        <w:t xml:space="preserve"> offered</w:t>
      </w:r>
      <w:r>
        <w:rPr>
          <w:szCs w:val="24"/>
          <w:u w:val="single"/>
        </w:rPr>
        <w:t>.</w:t>
      </w:r>
      <w:r>
        <w:rPr>
          <w:strike/>
          <w:szCs w:val="24"/>
        </w:rPr>
        <w:t>, in default whereof the person must be incarcerated.</w:t>
      </w:r>
      <w:r>
        <w:rPr>
          <w:szCs w:val="24"/>
        </w:rPr>
        <w:t xml:space="preserve">  </w:t>
      </w:r>
      <w:r>
        <w:rPr>
          <w:szCs w:val="24"/>
          <w:u w:val="single"/>
        </w:rPr>
        <w:t>A magistrate shall incarcerate a person who is granted bail and defaults.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>
        <w:rPr>
          <w:szCs w:val="24"/>
        </w:rPr>
        <w:tab/>
        <w:t>(B)</w:t>
      </w:r>
      <w:r>
        <w:rPr>
          <w:szCs w:val="24"/>
        </w:rPr>
        <w:tab/>
        <w:t>A person charged with a bailable offense must</w:t>
      </w:r>
      <w:r>
        <w:rPr>
          <w:szCs w:val="24"/>
          <w:u w:val="single"/>
        </w:rPr>
        <w:t>:</w:t>
      </w:r>
      <w:r>
        <w:rPr>
          <w:szCs w:val="24"/>
        </w:rPr>
        <w:t xml:space="preserve"> </w:t>
      </w:r>
      <w:r>
        <w:rPr>
          <w:strike/>
          <w:szCs w:val="24"/>
        </w:rPr>
        <w:t>have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(1)</w:t>
      </w:r>
      <w:r>
        <w:rPr>
          <w:szCs w:val="24"/>
        </w:rPr>
        <w:tab/>
      </w:r>
      <w:r>
        <w:rPr>
          <w:szCs w:val="24"/>
          <w:u w:val="single"/>
        </w:rPr>
        <w:t>receive</w:t>
      </w:r>
      <w:r>
        <w:rPr>
          <w:szCs w:val="24"/>
        </w:rPr>
        <w:t xml:space="preserve"> a bond hearing within twenty</w:t>
      </w:r>
      <w:r>
        <w:rPr>
          <w:szCs w:val="24"/>
        </w:rPr>
        <w:noBreakHyphen/>
        <w:t>four hours of his arrest</w:t>
      </w:r>
      <w:r>
        <w:rPr>
          <w:szCs w:val="24"/>
          <w:u w:val="single"/>
        </w:rPr>
        <w:t>;</w:t>
      </w:r>
      <w:r>
        <w:rPr>
          <w:szCs w:val="24"/>
        </w:rPr>
        <w:t xml:space="preserve">  and </w:t>
      </w:r>
      <w:r>
        <w:rPr>
          <w:strike/>
          <w:szCs w:val="24"/>
        </w:rPr>
        <w:t>must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  <w:t xml:space="preserve">be released </w:t>
      </w:r>
      <w:r>
        <w:rPr>
          <w:szCs w:val="24"/>
          <w:u w:val="single"/>
        </w:rPr>
        <w:t>from incarceration</w:t>
      </w:r>
      <w:r>
        <w:rPr>
          <w:szCs w:val="24"/>
        </w:rPr>
        <w:t xml:space="preserve"> within </w:t>
      </w:r>
      <w:r>
        <w:rPr>
          <w:strike/>
          <w:szCs w:val="24"/>
        </w:rPr>
        <w:t>a reasonable time, not to exceed four hours, after the bond is delivered to the incarcerating facility</w:t>
      </w:r>
      <w:r>
        <w:rPr>
          <w:szCs w:val="24"/>
          <w:u w:val="single"/>
        </w:rPr>
        <w:t>two hours of posting a personal recognizance bond or within four hours of having his bond posted by another person</w:t>
      </w:r>
      <w:r>
        <w:rPr>
          <w:szCs w:val="24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</w:r>
      <w:r>
        <w:rPr>
          <w:szCs w:val="24"/>
          <w:u w:val="single"/>
        </w:rPr>
        <w:t>A county that fails to comply with subsection (B) must: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(1)</w:t>
      </w:r>
      <w:r>
        <w:rPr>
          <w:szCs w:val="24"/>
        </w:rPr>
        <w:tab/>
      </w:r>
      <w:r>
        <w:rPr>
          <w:szCs w:val="24"/>
          <w:u w:val="single"/>
        </w:rPr>
        <w:t>pay a five thousand dollar penalty for a violation to the Office of the Public Defender for the circuit in which the county is located; and</w:t>
      </w:r>
      <w:r>
        <w:rPr>
          <w:szCs w:val="24"/>
        </w:rPr>
        <w:tab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</w:r>
      <w:r>
        <w:rPr>
          <w:szCs w:val="24"/>
          <w:u w:val="single"/>
        </w:rPr>
        <w:t>monthly notify the Director of South Carolina Court Administration of the total violations that occurred the previous month.</w:t>
      </w:r>
      <w:r>
        <w:rPr>
          <w:szCs w:val="24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F4CC19-D050-4E7A-8B1B-1E48CFBB37A7}"/>
    <w:embedBold r:id="rId2" w:fontKey="{090B93DA-295D-46A0-B544-48FA8CF929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702B5D-582E-4FB8-816A-21AA6C2737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2B43E3-28C8-411C-9FB6-4937CB08DF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CE3E48-D7C0-4E35-9AF1-6605F21233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22AB09"/>
    <w:docVar w:name="CoverBillType" w:val="b"/>
    <w:docVar w:name="docpath" w:val="L:\Council\bills\GGS\22222AB09.DOCX"/>
    <w:docVar w:name="dvBillNumber" w:val="3490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2009-02-10T15:45:00Z</cp:lastPrinted>
  <dcterms:created xsi:type="dcterms:W3CDTF">2009-02-10T18:15:00Z</dcterms:created>
  <dcterms:modified xsi:type="dcterms:W3CDTF">2009-02-10T18:15:00Z</dcterms:modified>
</cp:coreProperties>
</file>