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7</w:t>
      </w:r>
      <w:r>
        <w:noBreakHyphen/>
        <w:t>31 SO AS TO PROVIDE THAT A TOWING COMPANY OPERATING WITHIN THE CORPORATE LIMITS OF A MUNICIPALITY IS NOT SUBJECT TO A BUSINESS LICENSE TAX UNLESS THE TOWING COMPANY MAINTAINS A PLACE OF BUSINESS WITHIN THE CORPORATE LIMITS OF THE MUNICIPALITY.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31.</w:t>
      </w:r>
      <w:r>
        <w:tab/>
        <w:t>A towing company operating within the corporate limits of a municipality is not subject to a business license tax imposed under the provisions of Section 5</w:t>
      </w:r>
      <w:r>
        <w:noBreakHyphen/>
        <w:t>7</w:t>
      </w:r>
      <w:r>
        <w:noBreakHyphen/>
        <w:t>30 unless the towing company maintains a place of business within the corporate limits of the municipality.”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5CF7E-BC4A-4631-B688-9FFA20956BE2}"/>
    <w:embedBold r:id="rId2" w:fontKey="{9F404B4A-C795-4E02-B955-19A8DBABA6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E74EA9-1080-43C1-9609-8E655FA2EF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2C9E484-A768-4D2A-A9DF-3AD137E06D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3105DW09"/>
    <w:docVar w:name="CoverBillType" w:val="b"/>
    <w:docVar w:name="docpath" w:val="L:\Council\bills\DKA\3105DW09.DOCX"/>
    <w:docVar w:name="dvBillNumber" w:val="349"/>
    <w:docVar w:name="dvBillNumberPrefix" w:val="S. "/>
    <w:docVar w:name="dvOriginalBody" w:val="Senate"/>
    <w:docVar w:name="dvSteno" w:val="DKA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dcterms:created xsi:type="dcterms:W3CDTF">2009-01-29T16:55:00Z</dcterms:created>
  <dcterms:modified xsi:type="dcterms:W3CDTF">2009-01-29T16:55:00Z</dcterms:modified>
</cp:coreProperties>
</file>