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6123" w:rsidRDefault="001D6123" w:rsidP="00D05D89">
      <w:pPr>
        <w:tabs>
          <w:tab w:val="right" w:pos="5933"/>
        </w:tabs>
        <w:suppressAutoHyphens/>
        <w:jc w:val="both"/>
        <w:rPr>
          <w:rFonts w:eastAsia="Times New Roman"/>
        </w:rPr>
      </w:pPr>
    </w:p>
    <w:p w:rsidR="001D6123" w:rsidRDefault="001D6123" w:rsidP="00D05D89">
      <w:pPr>
        <w:tabs>
          <w:tab w:val="right" w:pos="5933"/>
        </w:tabs>
        <w:suppressAutoHyphens/>
        <w:jc w:val="both"/>
        <w:rPr>
          <w:rFonts w:eastAsia="Times New Roman"/>
        </w:rPr>
      </w:pPr>
      <w:r>
        <w:rPr>
          <w:rFonts w:eastAsia="Times New Roman"/>
        </w:rPr>
        <w:t>AMENDED--NOT PRINTED IN THE HOUSE</w:t>
      </w:r>
    </w:p>
    <w:p w:rsidR="001D6123" w:rsidRDefault="001D6123" w:rsidP="00D05D89">
      <w:pPr>
        <w:tabs>
          <w:tab w:val="right" w:pos="5933"/>
        </w:tabs>
        <w:suppressAutoHyphens/>
        <w:jc w:val="both"/>
        <w:rPr>
          <w:rFonts w:eastAsia="Times New Roman"/>
        </w:rPr>
      </w:pPr>
      <w:r>
        <w:rPr>
          <w:rFonts w:eastAsia="Times New Roman"/>
        </w:rPr>
        <w:t>Amt. No. 1 (Doc. Path council\gjk\20338sd09)</w:t>
      </w:r>
    </w:p>
    <w:p w:rsidR="001D6123" w:rsidRDefault="001D6123" w:rsidP="00D05D89">
      <w:pPr>
        <w:tabs>
          <w:tab w:val="right" w:pos="5933"/>
        </w:tabs>
        <w:suppressAutoHyphens/>
        <w:jc w:val="both"/>
        <w:rPr>
          <w:rFonts w:eastAsia="Times New Roman"/>
        </w:rPr>
      </w:pPr>
      <w:r>
        <w:rPr>
          <w:rFonts w:eastAsia="Times New Roman"/>
        </w:rPr>
        <w:t>April 30, 2009</w:t>
      </w:r>
    </w:p>
    <w:p w:rsidR="001D6123" w:rsidRDefault="001D6123" w:rsidP="00D05D89">
      <w:pPr>
        <w:tabs>
          <w:tab w:val="right" w:pos="5933"/>
        </w:tabs>
        <w:suppressAutoHyphens/>
        <w:jc w:val="both"/>
        <w:rPr>
          <w:rFonts w:eastAsia="Times New Roman"/>
        </w:rPr>
      </w:pPr>
    </w:p>
    <w:p w:rsidR="00D05D89" w:rsidRPr="00D05D89" w:rsidRDefault="00D05D89" w:rsidP="00D05D89">
      <w:pPr>
        <w:tabs>
          <w:tab w:val="right" w:pos="5933"/>
        </w:tabs>
        <w:suppressAutoHyphens/>
        <w:jc w:val="both"/>
        <w:rPr>
          <w:rFonts w:eastAsia="Times New Roman"/>
        </w:rPr>
      </w:pPr>
      <w:r>
        <w:rPr>
          <w:rFonts w:eastAsia="Times New Roman"/>
        </w:rPr>
        <w:tab/>
      </w:r>
      <w:r>
        <w:rPr>
          <w:rFonts w:eastAsia="Times New Roman"/>
          <w:b/>
          <w:sz w:val="36"/>
        </w:rPr>
        <w:t>S. 351</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182B7C">
        <w:rPr>
          <w:rFonts w:eastAsia="Times New Roman"/>
        </w:rPr>
        <w:t>30</w:t>
      </w:r>
      <w:r>
        <w:rPr>
          <w:rFonts w:eastAsia="Times New Roman"/>
        </w:rPr>
        <w:t>/09--H.</w:t>
      </w:r>
    </w:p>
    <w:p w:rsidR="00D05D89" w:rsidRDefault="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D05D89" w:rsidRPr="00D05D89" w:rsidRDefault="00D05D89" w:rsidP="00D0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1D6123" w:rsidRDefault="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w:t>
      </w:r>
      <w:r w:rsidRPr="004A5E6E">
        <w:rPr>
          <w:rFonts w:eastAsia="Times New Roman"/>
          <w:snapToGrid w:val="0"/>
          <w:szCs w:val="20"/>
        </w:rPr>
        <w:tab/>
        <w:t>Article 1, Chapter 3, Title 54 of the 1976 Code is amended to read: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w:t>
      </w:r>
      <w:r w:rsidRPr="004A5E6E">
        <w:rPr>
          <w:rFonts w:eastAsia="Times New Roman"/>
          <w:snapToGrid w:val="0"/>
          <w:szCs w:val="20"/>
        </w:rPr>
        <w:tab/>
        <w:t>1</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Creation and Organization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w:t>
      </w:r>
      <w:r w:rsidRPr="004A5E6E">
        <w:rPr>
          <w:rFonts w:eastAsia="Times New Roman"/>
          <w:snapToGrid w:val="0"/>
          <w:szCs w:val="20"/>
        </w:rPr>
        <w:tab/>
      </w:r>
      <w:r w:rsidRPr="004A5E6E">
        <w:rPr>
          <w:rFonts w:eastAsia="Times New Roman"/>
          <w:strike/>
          <w:snapToGrid w:val="0"/>
          <w:szCs w:val="20"/>
        </w:rPr>
        <w:t>The</w:t>
      </w:r>
      <w:r w:rsidRPr="004A5E6E">
        <w:rPr>
          <w:rFonts w:eastAsia="Times New Roman"/>
          <w:snapToGrid w:val="0"/>
          <w:szCs w:val="20"/>
        </w:rPr>
        <w:t xml:space="preserve"> </w:t>
      </w:r>
      <w:r w:rsidRPr="004A5E6E">
        <w:rPr>
          <w:rFonts w:eastAsia="Times New Roman"/>
          <w:snapToGrid w:val="0"/>
          <w:szCs w:val="20"/>
          <w:u w:val="single"/>
        </w:rPr>
        <w:t>There is created the</w:t>
      </w:r>
      <w:r w:rsidRPr="004A5E6E">
        <w:rPr>
          <w:rFonts w:eastAsia="Times New Roman"/>
          <w:snapToGrid w:val="0"/>
          <w:szCs w:val="20"/>
        </w:rPr>
        <w:t xml:space="preserve"> South Carolina State Ports Authority</w:t>
      </w:r>
      <w:r w:rsidRPr="004A5E6E">
        <w:rPr>
          <w:rFonts w:eastAsia="Times New Roman"/>
          <w:snapToGrid w:val="0"/>
          <w:szCs w:val="20"/>
          <w:u w:val="single"/>
        </w:rPr>
        <w:t>.</w:t>
      </w:r>
      <w:r w:rsidRPr="004A5E6E">
        <w:rPr>
          <w:rFonts w:eastAsia="Times New Roman"/>
          <w:snapToGrid w:val="0"/>
          <w:szCs w:val="20"/>
        </w:rPr>
        <w:t xml:space="preserve"> </w:t>
      </w:r>
      <w:r w:rsidRPr="004A5E6E">
        <w:rPr>
          <w:rFonts w:eastAsia="Times New Roman"/>
          <w:strike/>
          <w:snapToGrid w:val="0"/>
          <w:szCs w:val="20"/>
        </w:rPr>
        <w:t>is hereby created consisting of a</w:t>
      </w:r>
      <w:r w:rsidRPr="004A5E6E">
        <w:rPr>
          <w:rFonts w:eastAsia="Times New Roman"/>
          <w:snapToGrid w:val="0"/>
          <w:szCs w:val="20"/>
        </w:rPr>
        <w:t xml:space="preserve"> </w:t>
      </w:r>
      <w:r w:rsidRPr="004A5E6E">
        <w:rPr>
          <w:rFonts w:eastAsia="Times New Roman"/>
          <w:snapToGrid w:val="0"/>
          <w:szCs w:val="20"/>
          <w:u w:val="single"/>
        </w:rPr>
        <w:t>The</w:t>
      </w:r>
      <w:r w:rsidRPr="004A5E6E">
        <w:rPr>
          <w:rFonts w:eastAsia="Times New Roman"/>
          <w:snapToGrid w:val="0"/>
          <w:szCs w:val="20"/>
        </w:rPr>
        <w:t xml:space="preserve"> governing body </w:t>
      </w:r>
      <w:r w:rsidRPr="004A5E6E">
        <w:rPr>
          <w:rFonts w:eastAsia="Times New Roman"/>
          <w:snapToGrid w:val="0"/>
          <w:szCs w:val="20"/>
          <w:u w:val="single"/>
        </w:rPr>
        <w:t>of the authority is a board of directors consisting</w:t>
      </w:r>
      <w:r w:rsidRPr="004A5E6E">
        <w:rPr>
          <w:rFonts w:eastAsia="Times New Roman"/>
          <w:snapToGrid w:val="0"/>
          <w:szCs w:val="20"/>
        </w:rPr>
        <w:t xml:space="preserve"> of nine members</w:t>
      </w:r>
      <w:r w:rsidRPr="004A5E6E">
        <w:rPr>
          <w:rFonts w:eastAsia="Times New Roman"/>
          <w:strike/>
          <w:snapToGrid w:val="0"/>
          <w:szCs w:val="20"/>
        </w:rPr>
        <w:t>, hereafter referred to as the Authority</w:t>
      </w:r>
      <w:r w:rsidRPr="004A5E6E">
        <w:rPr>
          <w:rFonts w:eastAsia="Times New Roman"/>
          <w:snapToGrid w:val="0"/>
          <w:szCs w:val="20"/>
        </w:rPr>
        <w:t xml:space="preserve"> </w:t>
      </w:r>
      <w:r w:rsidRPr="004A5E6E">
        <w:rPr>
          <w:rFonts w:eastAsia="Times New Roman"/>
          <w:snapToGrid w:val="0"/>
          <w:szCs w:val="20"/>
          <w:u w:val="single"/>
        </w:rPr>
        <w:t>who shall be responsible for setting policies and direction for the authority so that the authority may achieve its mission</w:t>
      </w:r>
      <w:r w:rsidRPr="004A5E6E">
        <w:rPr>
          <w:rFonts w:eastAsia="Times New Roman"/>
          <w:snapToGrid w:val="0"/>
          <w:szCs w:val="20"/>
        </w:rPr>
        <w:t xml:space="preserve">.  </w:t>
      </w:r>
      <w:r w:rsidRPr="004A5E6E">
        <w:rPr>
          <w:rFonts w:eastAsia="Times New Roman"/>
          <w:snapToGrid w:val="0"/>
          <w:szCs w:val="20"/>
          <w:u w:val="single"/>
        </w:rPr>
        <w:t xml:space="preserve">The powers and duties of the authority shall be exercised by the board.  The board may delegate to one or more officers, agents, or employees such powers </w:t>
      </w:r>
      <w:r w:rsidRPr="004A5E6E">
        <w:rPr>
          <w:rFonts w:eastAsia="Times New Roman"/>
          <w:snapToGrid w:val="0"/>
          <w:szCs w:val="20"/>
          <w:u w:val="single"/>
        </w:rPr>
        <w:lastRenderedPageBreak/>
        <w:t>and duties as it determines are necessary and proper for the effective, efficient operation of the port.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20.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t xml:space="preserve">The members of the board shall be appointed by the Governor, with the advice and consent of the Senate, for terms of </w:t>
      </w:r>
      <w:r w:rsidRPr="004A5E6E">
        <w:rPr>
          <w:rFonts w:eastAsia="Times New Roman"/>
          <w:strike/>
          <w:snapToGrid w:val="0"/>
          <w:szCs w:val="20"/>
        </w:rPr>
        <w:t>seven</w:t>
      </w:r>
      <w:r w:rsidRPr="004A5E6E">
        <w:rPr>
          <w:rFonts w:eastAsia="Times New Roman"/>
          <w:snapToGrid w:val="0"/>
          <w:szCs w:val="20"/>
        </w:rPr>
        <w:t xml:space="preserve"> </w:t>
      </w:r>
      <w:r w:rsidRPr="004A5E6E">
        <w:rPr>
          <w:rFonts w:eastAsia="Times New Roman"/>
          <w:snapToGrid w:val="0"/>
          <w:szCs w:val="20"/>
          <w:u w:val="single"/>
        </w:rPr>
        <w:t>six</w:t>
      </w:r>
      <w:r w:rsidRPr="004A5E6E">
        <w:rPr>
          <w:rFonts w:eastAsia="Times New Roman"/>
          <w:snapToGrid w:val="0"/>
          <w:szCs w:val="20"/>
        </w:rPr>
        <w:t xml:space="preserve"> years each and until their successors shall have been appointed</w:t>
      </w:r>
      <w:r w:rsidRPr="004A5E6E">
        <w:rPr>
          <w:rFonts w:eastAsia="Times New Roman"/>
          <w:snapToGrid w:val="0"/>
          <w:szCs w:val="20"/>
          <w:u w:val="single"/>
        </w:rPr>
        <w:t>, screened,</w:t>
      </w:r>
      <w:r w:rsidRPr="004A5E6E">
        <w:rPr>
          <w:rFonts w:eastAsia="Times New Roman"/>
          <w:snapToGrid w:val="0"/>
          <w:szCs w:val="20"/>
        </w:rPr>
        <w:t xml:space="preserve"> and have qualified.  In the event of a vacancy, however caused, a successor shall be appointed in the manner of original appointment for the unexpired term.</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Beginning January 15, 2011, the membership of the board shall consist of nine members all of whom must be residents of the State of South Carolina and shall include: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one person appointed by the Governor from each of the six congressional districts;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one person appointed by the Governor from the state at large;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the Secretary of Transportation to serve ex officio;</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(4)</w:t>
      </w:r>
      <w:r w:rsidRPr="004A5E6E">
        <w:rPr>
          <w:rFonts w:eastAsia="Times New Roman"/>
          <w:snapToGrid w:val="0"/>
          <w:szCs w:val="20"/>
        </w:rPr>
        <w:tab/>
      </w:r>
      <w:r w:rsidRPr="004A5E6E">
        <w:rPr>
          <w:rFonts w:eastAsia="Times New Roman"/>
          <w:snapToGrid w:val="0"/>
          <w:szCs w:val="20"/>
          <w:u w:val="single"/>
        </w:rPr>
        <w:t>the Secretary of Commerce to serve ex officio.</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The terms of the members of the board serving in office on January 15, 2011, shall expire on this date.   Beginning January 15, 2011, new members of the board shall be appointed and shall serve staggered terms.  Nothing herein prohibits the reappointment of a former board member.  In 2011 the members representing the second and fourth congressional districts must be appointed for terms ending January 15, 2013.  Thereafter, members representing the second and fourth congressional districts must be appointed to terms of six years.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In 2011, members representing the first and third congressional districts must be appointed to terms ending January 15, 2015.  Thereafter, members representing the first and third congressional districts must be appointed to terms of six years.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In 2011, members representing the fifth and sixth congressional districts as well as the member representing the State at large must be appointed to six</w:t>
      </w:r>
      <w:r w:rsidRPr="004A5E6E">
        <w:rPr>
          <w:rFonts w:eastAsia="Times New Roman"/>
          <w:snapToGrid w:val="0"/>
          <w:szCs w:val="20"/>
          <w:u w:val="single"/>
        </w:rPr>
        <w:noBreakHyphen/>
        <w:t>year terms ending January 15, 2017.</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A candidate for appointment to the board may not be confirmed by the Senate or serve on the board, even in an interim capacity, until he is found qualified by possessing the abilities and experience and having the minimum qualifications contained in Section 54</w:t>
      </w:r>
      <w:r w:rsidRPr="004A5E6E">
        <w:rPr>
          <w:rFonts w:eastAsia="Times New Roman"/>
          <w:snapToGrid w:val="0"/>
          <w:szCs w:val="20"/>
          <w:u w:val="single"/>
        </w:rPr>
        <w:noBreakHyphen/>
        <w:t>3</w:t>
      </w:r>
      <w:r w:rsidRPr="004A5E6E">
        <w:rPr>
          <w:rFonts w:eastAsia="Times New Roman"/>
          <w:snapToGrid w:val="0"/>
          <w:szCs w:val="20"/>
          <w:u w:val="single"/>
        </w:rPr>
        <w:noBreakHyphen/>
        <w:t xml:space="preserve">60 as determined by the Joint Commission on Ports Authority Qualification. </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25.</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 xml:space="preserve">There is created a Joint Commission on Ports Authority Qualification consisting of five members of the </w:t>
      </w:r>
      <w:r w:rsidRPr="004A5E6E">
        <w:rPr>
          <w:rFonts w:eastAsia="Times New Roman"/>
          <w:snapToGrid w:val="0"/>
          <w:szCs w:val="20"/>
          <w:u w:val="single"/>
        </w:rPr>
        <w:lastRenderedPageBreak/>
        <w:t>Senate, appointed by the President Pro Tempore of the Senate and five members of the House of Representatives appointed by the Speaker of the House.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The commission by a two</w:t>
      </w:r>
      <w:r w:rsidRPr="004A5E6E">
        <w:rPr>
          <w:rFonts w:eastAsia="Times New Roman"/>
          <w:snapToGrid w:val="0"/>
          <w:szCs w:val="20"/>
          <w:u w:val="single"/>
        </w:rPr>
        <w:noBreakHyphen/>
        <w:t>thirds vote of its membership, may waive the requirements of Section 54</w:t>
      </w:r>
      <w:r w:rsidRPr="004A5E6E">
        <w:rPr>
          <w:rFonts w:eastAsia="Times New Roman"/>
          <w:snapToGrid w:val="0"/>
          <w:szCs w:val="20"/>
          <w:u w:val="single"/>
        </w:rPr>
        <w:noBreakHyphen/>
        <w:t>3</w:t>
      </w:r>
      <w:r w:rsidRPr="004A5E6E">
        <w:rPr>
          <w:rFonts w:eastAsia="Times New Roman"/>
          <w:snapToGrid w:val="0"/>
          <w:szCs w:val="20"/>
          <w:u w:val="single"/>
        </w:rPr>
        <w:noBreakHyphen/>
        <w:t>60(A) for a candidate for the board of directors for the State Ports Authority.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30.</w:t>
      </w:r>
      <w:r w:rsidRPr="004A5E6E">
        <w:rPr>
          <w:rFonts w:eastAsia="Times New Roman"/>
          <w:snapToGrid w:val="0"/>
          <w:szCs w:val="20"/>
        </w:rPr>
        <w:tab/>
      </w:r>
      <w:r w:rsidRPr="004A5E6E">
        <w:rPr>
          <w:rFonts w:eastAsia="Times New Roman"/>
          <w:strike/>
          <w:snapToGrid w:val="0"/>
          <w:szCs w:val="20"/>
        </w:rPr>
        <w:t>They</w:t>
      </w:r>
      <w:r w:rsidRPr="004A5E6E">
        <w:rPr>
          <w:rFonts w:eastAsia="Times New Roman"/>
          <w:snapToGrid w:val="0"/>
          <w:szCs w:val="20"/>
        </w:rPr>
        <w:t xml:space="preserve"> </w:t>
      </w:r>
      <w:r w:rsidRPr="004A5E6E">
        <w:rPr>
          <w:rFonts w:eastAsia="Times New Roman"/>
          <w:snapToGrid w:val="0"/>
          <w:szCs w:val="20"/>
          <w:u w:val="single"/>
        </w:rPr>
        <w:t>The board</w:t>
      </w:r>
      <w:r w:rsidRPr="004A5E6E">
        <w:rPr>
          <w:rFonts w:eastAsia="Times New Roman"/>
          <w:snapToGrid w:val="0"/>
          <w:szCs w:val="20"/>
        </w:rPr>
        <w:t xml:space="preserve"> shall elect one of </w:t>
      </w:r>
      <w:r w:rsidRPr="004A5E6E">
        <w:rPr>
          <w:rFonts w:eastAsia="Times New Roman"/>
          <w:strike/>
          <w:snapToGrid w:val="0"/>
          <w:szCs w:val="20"/>
        </w:rPr>
        <w:t>their number</w:t>
      </w:r>
      <w:r w:rsidRPr="004A5E6E">
        <w:rPr>
          <w:rFonts w:eastAsia="Times New Roman"/>
          <w:snapToGrid w:val="0"/>
          <w:szCs w:val="20"/>
        </w:rPr>
        <w:t xml:space="preserve"> </w:t>
      </w:r>
      <w:r w:rsidRPr="004A5E6E">
        <w:rPr>
          <w:rFonts w:eastAsia="Times New Roman"/>
          <w:snapToGrid w:val="0"/>
          <w:szCs w:val="20"/>
          <w:u w:val="single"/>
        </w:rPr>
        <w:t>its members to serve</w:t>
      </w:r>
      <w:r w:rsidRPr="004A5E6E">
        <w:rPr>
          <w:rFonts w:eastAsia="Times New Roman"/>
          <w:snapToGrid w:val="0"/>
          <w:szCs w:val="20"/>
        </w:rPr>
        <w:t xml:space="preserve"> as chairman and </w:t>
      </w:r>
      <w:r w:rsidRPr="004A5E6E">
        <w:rPr>
          <w:rFonts w:eastAsia="Times New Roman"/>
          <w:snapToGrid w:val="0"/>
          <w:szCs w:val="20"/>
          <w:u w:val="single"/>
        </w:rPr>
        <w:t>there shall be no term limit for a member selected by the board as chairman,</w:t>
      </w:r>
      <w:r w:rsidRPr="004A5E6E">
        <w:rPr>
          <w:rFonts w:eastAsia="Times New Roman"/>
          <w:snapToGrid w:val="0"/>
          <w:szCs w:val="20"/>
        </w:rPr>
        <w:t xml:space="preserve"> one </w:t>
      </w:r>
      <w:r w:rsidRPr="004A5E6E">
        <w:rPr>
          <w:rFonts w:eastAsia="Times New Roman"/>
          <w:snapToGrid w:val="0"/>
          <w:szCs w:val="20"/>
          <w:u w:val="single"/>
        </w:rPr>
        <w:t>member to serve</w:t>
      </w:r>
      <w:r w:rsidRPr="004A5E6E">
        <w:rPr>
          <w:rFonts w:eastAsia="Times New Roman"/>
          <w:snapToGrid w:val="0"/>
          <w:szCs w:val="20"/>
        </w:rPr>
        <w:t xml:space="preserve"> as vice chairman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shall also elect a</w:t>
      </w:r>
      <w:r w:rsidRPr="004A5E6E">
        <w:rPr>
          <w:rFonts w:eastAsia="Times New Roman"/>
          <w:snapToGrid w:val="0"/>
          <w:szCs w:val="20"/>
        </w:rPr>
        <w:t xml:space="preserve"> </w:t>
      </w:r>
      <w:r w:rsidRPr="004A5E6E">
        <w:rPr>
          <w:rFonts w:eastAsia="Times New Roman"/>
          <w:snapToGrid w:val="0"/>
          <w:szCs w:val="20"/>
          <w:u w:val="single"/>
        </w:rPr>
        <w:t xml:space="preserve">one member to serve as </w:t>
      </w:r>
      <w:r w:rsidRPr="004A5E6E">
        <w:rPr>
          <w:rFonts w:eastAsia="Times New Roman"/>
          <w:snapToGrid w:val="0"/>
          <w:szCs w:val="20"/>
        </w:rPr>
        <w:t xml:space="preserve">secretary.  The board shall meet upon the call of its chairman and a majority of its members shall constitute a quorum for the transaction of its business. </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40.</w:t>
      </w:r>
      <w:r w:rsidRPr="004A5E6E">
        <w:rPr>
          <w:rFonts w:eastAsia="Times New Roman"/>
          <w:snapToGrid w:val="0"/>
          <w:szCs w:val="20"/>
        </w:rPr>
        <w:tab/>
        <w:t xml:space="preserve">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board</w:t>
      </w:r>
      <w:r w:rsidRPr="004A5E6E">
        <w:rPr>
          <w:rFonts w:eastAsia="Times New Roman"/>
          <w:snapToGrid w:val="0"/>
          <w:szCs w:val="20"/>
        </w:rPr>
        <w:t xml:space="preserve"> shall select one of its members to serve as </w:t>
      </w:r>
      <w:r w:rsidRPr="004A5E6E">
        <w:rPr>
          <w:rFonts w:eastAsia="Times New Roman"/>
          <w:strike/>
          <w:snapToGrid w:val="0"/>
          <w:szCs w:val="20"/>
        </w:rPr>
        <w:t>its</w:t>
      </w:r>
      <w:r w:rsidRPr="004A5E6E">
        <w:rPr>
          <w:rFonts w:eastAsia="Times New Roman"/>
          <w:snapToGrid w:val="0"/>
          <w:szCs w:val="20"/>
        </w:rPr>
        <w:t xml:space="preserve"> treasurer. The </w:t>
      </w:r>
      <w:r w:rsidRPr="004A5E6E">
        <w:rPr>
          <w:rFonts w:eastAsia="Times New Roman"/>
          <w:strike/>
          <w:snapToGrid w:val="0"/>
          <w:szCs w:val="20"/>
        </w:rPr>
        <w:t>Authority</w:t>
      </w:r>
      <w:r w:rsidRPr="004A5E6E">
        <w:rPr>
          <w:rFonts w:eastAsia="Times New Roman"/>
          <w:snapToGrid w:val="0"/>
          <w:szCs w:val="20"/>
        </w:rPr>
        <w:t xml:space="preserve"> </w:t>
      </w:r>
      <w:r w:rsidRPr="004A5E6E">
        <w:rPr>
          <w:rFonts w:eastAsia="Times New Roman"/>
          <w:snapToGrid w:val="0"/>
          <w:szCs w:val="20"/>
          <w:u w:val="single"/>
        </w:rPr>
        <w:t>treasurer</w:t>
      </w:r>
      <w:r w:rsidRPr="004A5E6E">
        <w:rPr>
          <w:rFonts w:eastAsia="Times New Roman"/>
          <w:snapToGrid w:val="0"/>
          <w:szCs w:val="20"/>
        </w:rPr>
        <w:t xml:space="preserve"> shall </w:t>
      </w:r>
      <w:r w:rsidRPr="004A5E6E">
        <w:rPr>
          <w:rFonts w:eastAsia="Times New Roman"/>
          <w:strike/>
          <w:snapToGrid w:val="0"/>
          <w:szCs w:val="20"/>
        </w:rPr>
        <w:t>require</w:t>
      </w:r>
      <w:r w:rsidRPr="004A5E6E">
        <w:rPr>
          <w:rFonts w:eastAsia="Times New Roman"/>
          <w:snapToGrid w:val="0"/>
          <w:szCs w:val="20"/>
        </w:rPr>
        <w:t xml:space="preserve"> </w:t>
      </w:r>
      <w:r w:rsidRPr="004A5E6E">
        <w:rPr>
          <w:rFonts w:eastAsia="Times New Roman"/>
          <w:snapToGrid w:val="0"/>
          <w:szCs w:val="20"/>
          <w:u w:val="single"/>
        </w:rPr>
        <w:t>give</w:t>
      </w:r>
      <w:r w:rsidRPr="004A5E6E">
        <w:rPr>
          <w:rFonts w:eastAsia="Times New Roman"/>
          <w:snapToGrid w:val="0"/>
          <w:szCs w:val="20"/>
        </w:rPr>
        <w:t xml:space="preserve"> a surety bond </w:t>
      </w:r>
      <w:r w:rsidRPr="004A5E6E">
        <w:rPr>
          <w:rFonts w:eastAsia="Times New Roman"/>
          <w:strike/>
          <w:snapToGrid w:val="0"/>
          <w:szCs w:val="20"/>
        </w:rPr>
        <w:t>of such appointee</w:t>
      </w:r>
      <w:r w:rsidRPr="004A5E6E">
        <w:rPr>
          <w:rFonts w:eastAsia="Times New Roman"/>
          <w:snapToGrid w:val="0"/>
          <w:szCs w:val="20"/>
        </w:rPr>
        <w:t xml:space="preserve"> in </w:t>
      </w:r>
      <w:r w:rsidRPr="004A5E6E">
        <w:rPr>
          <w:rFonts w:eastAsia="Times New Roman"/>
          <w:strike/>
          <w:snapToGrid w:val="0"/>
          <w:szCs w:val="20"/>
        </w:rPr>
        <w:t>such</w:t>
      </w:r>
      <w:r w:rsidRPr="004A5E6E">
        <w:rPr>
          <w:rFonts w:eastAsia="Times New Roman"/>
          <w:snapToGrid w:val="0"/>
          <w:szCs w:val="20"/>
        </w:rPr>
        <w:t xml:space="preserve"> </w:t>
      </w:r>
      <w:r w:rsidRPr="004A5E6E">
        <w:rPr>
          <w:rFonts w:eastAsia="Times New Roman"/>
          <w:snapToGrid w:val="0"/>
          <w:szCs w:val="20"/>
          <w:u w:val="single"/>
        </w:rPr>
        <w:t>an</w:t>
      </w:r>
      <w:r w:rsidRPr="004A5E6E">
        <w:rPr>
          <w:rFonts w:eastAsia="Times New Roman"/>
          <w:snapToGrid w:val="0"/>
          <w:szCs w:val="20"/>
        </w:rPr>
        <w:t xml:space="preserve"> amount </w:t>
      </w:r>
      <w:r w:rsidRPr="004A5E6E">
        <w:rPr>
          <w:rFonts w:eastAsia="Times New Roman"/>
          <w:strike/>
          <w:snapToGrid w:val="0"/>
          <w:szCs w:val="20"/>
        </w:rPr>
        <w:t>as the Authority may fix</w:t>
      </w:r>
      <w:r w:rsidRPr="004A5E6E">
        <w:rPr>
          <w:rFonts w:eastAsia="Times New Roman"/>
          <w:snapToGrid w:val="0"/>
          <w:szCs w:val="20"/>
        </w:rPr>
        <w:t xml:space="preserve"> </w:t>
      </w:r>
      <w:r w:rsidRPr="004A5E6E">
        <w:rPr>
          <w:rFonts w:eastAsia="Times New Roman"/>
          <w:snapToGrid w:val="0"/>
          <w:szCs w:val="20"/>
          <w:u w:val="single"/>
        </w:rPr>
        <w:t>fixed by the board</w:t>
      </w:r>
      <w:r w:rsidRPr="004A5E6E">
        <w:rPr>
          <w:rFonts w:eastAsia="Times New Roman"/>
          <w:snapToGrid w:val="0"/>
          <w:szCs w:val="20"/>
        </w:rPr>
        <w:t xml:space="preserve"> and the premium </w:t>
      </w:r>
      <w:r w:rsidRPr="004A5E6E">
        <w:rPr>
          <w:rFonts w:eastAsia="Times New Roman"/>
          <w:strike/>
          <w:snapToGrid w:val="0"/>
          <w:szCs w:val="20"/>
        </w:rPr>
        <w:t>thereon</w:t>
      </w:r>
      <w:r w:rsidRPr="004A5E6E">
        <w:rPr>
          <w:rFonts w:eastAsia="Times New Roman"/>
          <w:snapToGrid w:val="0"/>
          <w:szCs w:val="20"/>
        </w:rPr>
        <w:t xml:space="preserve"> </w:t>
      </w:r>
      <w:r w:rsidRPr="004A5E6E">
        <w:rPr>
          <w:rFonts w:eastAsia="Times New Roman"/>
          <w:snapToGrid w:val="0"/>
          <w:szCs w:val="20"/>
          <w:u w:val="single"/>
        </w:rPr>
        <w:t>on the bond</w:t>
      </w:r>
      <w:r w:rsidRPr="004A5E6E">
        <w:rPr>
          <w:rFonts w:eastAsia="Times New Roman"/>
          <w:snapToGrid w:val="0"/>
          <w:szCs w:val="20"/>
        </w:rPr>
        <w:t xml:space="preserve"> shall be paid by the authority as a necessary expense </w:t>
      </w:r>
      <w:r w:rsidRPr="004A5E6E">
        <w:rPr>
          <w:rFonts w:eastAsia="Times New Roman"/>
          <w:strike/>
          <w:snapToGrid w:val="0"/>
          <w:szCs w:val="20"/>
        </w:rPr>
        <w:t>of the Authority</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50.</w:t>
      </w:r>
      <w:r w:rsidRPr="004A5E6E">
        <w:rPr>
          <w:rFonts w:eastAsia="Times New Roman"/>
          <w:snapToGrid w:val="0"/>
          <w:szCs w:val="20"/>
        </w:rPr>
        <w:tab/>
      </w:r>
      <w:r w:rsidRPr="004A5E6E">
        <w:rPr>
          <w:rFonts w:eastAsia="Times New Roman"/>
          <w:snapToGrid w:val="0"/>
          <w:szCs w:val="20"/>
          <w:u w:val="single"/>
        </w:rPr>
        <w:t>Members of the board of directors may be removed by the Governor pursuant to Section 1</w:t>
      </w:r>
      <w:r w:rsidRPr="004A5E6E">
        <w:rPr>
          <w:rFonts w:eastAsia="Times New Roman"/>
          <w:snapToGrid w:val="0"/>
          <w:szCs w:val="20"/>
          <w:u w:val="single"/>
        </w:rPr>
        <w:noBreakHyphen/>
        <w:t>3</w:t>
      </w:r>
      <w:r w:rsidRPr="004A5E6E">
        <w:rPr>
          <w:rFonts w:eastAsia="Times New Roman"/>
          <w:snapToGrid w:val="0"/>
          <w:szCs w:val="20"/>
          <w:u w:val="single"/>
        </w:rPr>
        <w:noBreakHyphen/>
        <w:t>240(A), a breach of duty required by Section 54</w:t>
      </w:r>
      <w:r w:rsidRPr="004A5E6E">
        <w:rPr>
          <w:rFonts w:eastAsia="Times New Roman"/>
          <w:snapToGrid w:val="0"/>
          <w:szCs w:val="20"/>
          <w:u w:val="single"/>
        </w:rPr>
        <w:noBreakHyphen/>
        <w:t>3</w:t>
      </w:r>
      <w:r w:rsidRPr="004A5E6E">
        <w:rPr>
          <w:rFonts w:eastAsia="Times New Roman"/>
          <w:snapToGrid w:val="0"/>
          <w:szCs w:val="20"/>
          <w:u w:val="single"/>
        </w:rPr>
        <w:noBreakHyphen/>
        <w:t>80, or entering into a conflict of interest transaction prohibited by Section 54</w:t>
      </w:r>
      <w:r w:rsidRPr="004A5E6E">
        <w:rPr>
          <w:rFonts w:eastAsia="Times New Roman"/>
          <w:snapToGrid w:val="0"/>
          <w:szCs w:val="20"/>
          <w:u w:val="single"/>
        </w:rPr>
        <w:noBreakHyphen/>
        <w:t>3</w:t>
      </w:r>
      <w:r w:rsidRPr="004A5E6E">
        <w:rPr>
          <w:rFonts w:eastAsia="Times New Roman"/>
          <w:snapToGrid w:val="0"/>
          <w:szCs w:val="20"/>
          <w:u w:val="single"/>
        </w:rPr>
        <w:noBreakHyphen/>
        <w:t>90.</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60.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Each member of the board except for the Secretary of Transportation and the Secretary of Commerce when they become members of the board must possess abilities and experience that enable them to make valuable contributions to the conduct of the authority’s business.  These abilities include substantial business skills and experience but are not limited to:</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general knowledge of the history, purpose, and operations of the State Ports Authority;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the ability to interpret legal and financial documents and information so as to further the activities and affairs of the authority;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with the assistance of counsel, the ability to understand and apply federal and state laws, rules, and regulations related to the operation of a port;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r>
      <w:r w:rsidRPr="004A5E6E">
        <w:rPr>
          <w:rFonts w:eastAsia="Times New Roman"/>
          <w:snapToGrid w:val="0"/>
          <w:szCs w:val="20"/>
        </w:rPr>
        <w:tab/>
      </w:r>
      <w:r w:rsidRPr="004A5E6E">
        <w:rPr>
          <w:rFonts w:eastAsia="Times New Roman"/>
          <w:snapToGrid w:val="0"/>
          <w:szCs w:val="20"/>
          <w:u w:val="single"/>
        </w:rPr>
        <w:t>(4)</w:t>
      </w:r>
      <w:r w:rsidRPr="004A5E6E">
        <w:rPr>
          <w:rFonts w:eastAsia="Times New Roman"/>
          <w:snapToGrid w:val="0"/>
          <w:szCs w:val="20"/>
        </w:rPr>
        <w:tab/>
      </w:r>
      <w:r w:rsidRPr="004A5E6E">
        <w:rPr>
          <w:rFonts w:eastAsia="Times New Roman"/>
          <w:snapToGrid w:val="0"/>
          <w:szCs w:val="20"/>
          <w:u w:val="single"/>
        </w:rPr>
        <w:t>with the assistance of counsel, the ability to understand and apply judicial and administrative decisions as they relate to the activities and affairs of a port.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maritime shipping;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labor related to maritime shipping;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overland shipping by truck or rail, or both;</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international commerce;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(e)</w:t>
      </w:r>
      <w:r w:rsidRPr="004A5E6E">
        <w:rPr>
          <w:rFonts w:eastAsia="Times New Roman"/>
          <w:snapToGrid w:val="0"/>
          <w:szCs w:val="20"/>
        </w:rPr>
        <w:tab/>
      </w:r>
      <w:r w:rsidRPr="004A5E6E">
        <w:rPr>
          <w:rFonts w:eastAsia="Times New Roman"/>
          <w:snapToGrid w:val="0"/>
          <w:szCs w:val="20"/>
          <w:u w:val="single"/>
        </w:rPr>
        <w:t>finance, economics, or statistics;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(f)</w:t>
      </w:r>
      <w:r w:rsidRPr="004A5E6E">
        <w:rPr>
          <w:rFonts w:eastAsia="Times New Roman"/>
          <w:snapToGrid w:val="0"/>
          <w:szCs w:val="20"/>
        </w:rPr>
        <w:tab/>
      </w:r>
      <w:r w:rsidRPr="004A5E6E">
        <w:rPr>
          <w:rFonts w:eastAsia="Times New Roman"/>
          <w:snapToGrid w:val="0"/>
          <w:szCs w:val="20"/>
          <w:u w:val="single"/>
        </w:rPr>
        <w:t>accounting;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(g)</w:t>
      </w:r>
      <w:r w:rsidRPr="004A5E6E">
        <w:rPr>
          <w:rFonts w:eastAsia="Times New Roman"/>
          <w:snapToGrid w:val="0"/>
          <w:szCs w:val="20"/>
        </w:rPr>
        <w:tab/>
      </w:r>
      <w:r w:rsidRPr="004A5E6E">
        <w:rPr>
          <w:rFonts w:eastAsia="Times New Roman"/>
          <w:snapToGrid w:val="0"/>
          <w:szCs w:val="20"/>
          <w:u w:val="single"/>
        </w:rPr>
        <w:t>engineering;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(h)</w:t>
      </w:r>
      <w:r w:rsidRPr="004A5E6E">
        <w:rPr>
          <w:rFonts w:eastAsia="Times New Roman"/>
          <w:snapToGrid w:val="0"/>
          <w:szCs w:val="20"/>
        </w:rPr>
        <w:tab/>
      </w:r>
      <w:r w:rsidRPr="004A5E6E">
        <w:rPr>
          <w:rFonts w:eastAsia="Times New Roman"/>
          <w:snapToGrid w:val="0"/>
          <w:szCs w:val="20"/>
          <w:u w:val="single"/>
        </w:rPr>
        <w:t>law; 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(i)</w:t>
      </w:r>
      <w:r>
        <w:rPr>
          <w:rFonts w:eastAsia="Times New Roman"/>
          <w:snapToGrid w:val="0"/>
          <w:szCs w:val="20"/>
          <w:u w:val="single"/>
        </w:rPr>
        <w:tab/>
      </w:r>
      <w:r w:rsidRPr="004A5E6E">
        <w:rPr>
          <w:rFonts w:eastAsia="Times New Roman"/>
          <w:snapToGrid w:val="0"/>
          <w:szCs w:val="20"/>
        </w:rPr>
        <w:tab/>
      </w:r>
      <w:r w:rsidRPr="004A5E6E">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When making appointments to the board, the Governor shall ensure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these factors in making an appointment in no way creates a cause of action or basis for an employee grievance for a person appointed or for a person who fails to be appointed.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70.</w:t>
      </w:r>
      <w:r w:rsidRPr="004A5E6E">
        <w:rPr>
          <w:rFonts w:eastAsia="Times New Roman"/>
          <w:snapToGrid w:val="0"/>
          <w:szCs w:val="20"/>
        </w:rPr>
        <w:tab/>
      </w:r>
      <w:r w:rsidRPr="004A5E6E">
        <w:rPr>
          <w:rFonts w:eastAsia="Times New Roman"/>
          <w:snapToGrid w:val="0"/>
          <w:szCs w:val="20"/>
          <w:u w:val="single"/>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4A5E6E">
        <w:rPr>
          <w:rFonts w:eastAsia="Times New Roman"/>
          <w:snapToGrid w:val="0"/>
          <w:szCs w:val="20"/>
        </w:rPr>
        <w:t xml:space="preserve"> </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80.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 member of the board of directors shall discharge his duties as a director, including his duties as a member of a committee:</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in good faith;</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 xml:space="preserve">with the care an ordinarily prudent person in a like position would exercise under similar circumstances; and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in a manner he reasonably believes to be in the best interests of the authority.  As used in this chapter, best interests means a balancing of the following:</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achieving the purposes of the authority as provided in Section 54</w:t>
      </w:r>
      <w:r w:rsidRPr="004A5E6E">
        <w:rPr>
          <w:rFonts w:eastAsia="Times New Roman"/>
          <w:snapToGrid w:val="0"/>
          <w:szCs w:val="20"/>
          <w:u w:val="single"/>
        </w:rPr>
        <w:noBreakHyphen/>
        <w:t>3</w:t>
      </w:r>
      <w:r w:rsidRPr="004A5E6E">
        <w:rPr>
          <w:rFonts w:eastAsia="Times New Roman"/>
          <w:snapToGrid w:val="0"/>
          <w:szCs w:val="20"/>
          <w:u w:val="single"/>
        </w:rPr>
        <w:noBreakHyphen/>
        <w:t>130;</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preservation of the financial integrity of the State Ports Authority and its ongoing operations;</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economic development and job attraction and retention;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(e)</w:t>
      </w:r>
      <w:r w:rsidRPr="004A5E6E">
        <w:rPr>
          <w:rFonts w:eastAsia="Times New Roman"/>
          <w:snapToGrid w:val="0"/>
          <w:szCs w:val="20"/>
        </w:rPr>
        <w:tab/>
      </w:r>
      <w:r w:rsidRPr="004A5E6E">
        <w:rPr>
          <w:rFonts w:eastAsia="Times New Roman"/>
          <w:snapToGrid w:val="0"/>
          <w:szCs w:val="20"/>
          <w:u w:val="single"/>
        </w:rPr>
        <w:t>exercise of the powers of the authority in accordance with good business practices and the requirements of applicable licenses, laws, and regulations.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one or more officers or employees of the State whom the director reasonably believes to be reliable and competent in the matters presented;</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legal counsel, public accountants, or other persons as to matters the director reasonably believes are within the person’s professional or expert competence; or</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 committee of the board of directors of which he is not a member if the director reasonably believes the committee merits confidence.</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A director is not acting in good faith if he has knowledge concerning the matter in question that makes reliance otherwise permitted by subsection (B) unwarranted.</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(D)</w:t>
      </w:r>
      <w:r w:rsidRPr="004A5E6E">
        <w:rPr>
          <w:rFonts w:eastAsia="Times New Roman"/>
          <w:snapToGrid w:val="0"/>
          <w:szCs w:val="20"/>
        </w:rPr>
        <w:tab/>
      </w:r>
      <w:r w:rsidRPr="004A5E6E">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r>
      <w:r w:rsidRPr="004A5E6E">
        <w:rPr>
          <w:rFonts w:eastAsia="Times New Roman"/>
          <w:snapToGrid w:val="0"/>
          <w:szCs w:val="20"/>
          <w:u w:val="single"/>
        </w:rPr>
        <w:t>Section 54</w:t>
      </w:r>
      <w:r w:rsidRPr="004A5E6E">
        <w:rPr>
          <w:rFonts w:eastAsia="Times New Roman"/>
          <w:snapToGrid w:val="0"/>
          <w:szCs w:val="20"/>
          <w:u w:val="single"/>
        </w:rPr>
        <w:noBreakHyphen/>
        <w:t>3</w:t>
      </w:r>
      <w:r w:rsidRPr="004A5E6E">
        <w:rPr>
          <w:rFonts w:eastAsia="Times New Roman"/>
          <w:snapToGrid w:val="0"/>
          <w:szCs w:val="20"/>
          <w:u w:val="single"/>
        </w:rPr>
        <w:noBreakHyphen/>
        <w:t>90.</w:t>
      </w:r>
      <w:r w:rsidRPr="004A5E6E">
        <w:rPr>
          <w:rFonts w:eastAsia="Times New Roman"/>
          <w:snapToGrid w:val="0"/>
          <w:szCs w:val="20"/>
        </w:rPr>
        <w:tab/>
      </w:r>
      <w:r w:rsidRPr="004A5E6E">
        <w:rPr>
          <w:rFonts w:eastAsia="Times New Roman"/>
          <w:snapToGrid w:val="0"/>
          <w:szCs w:val="20"/>
          <w:u w:val="single"/>
        </w:rPr>
        <w:t>(A)</w:t>
      </w:r>
      <w:r w:rsidRPr="004A5E6E">
        <w:rPr>
          <w:rFonts w:eastAsia="Times New Roman"/>
          <w:snapToGrid w:val="0"/>
          <w:szCs w:val="20"/>
        </w:rPr>
        <w:tab/>
      </w:r>
      <w:r w:rsidRPr="004A5E6E">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the transaction was fair to the authority and its customers.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(B)</w:t>
      </w:r>
      <w:r w:rsidRPr="004A5E6E">
        <w:rPr>
          <w:rFonts w:eastAsia="Times New Roman"/>
          <w:snapToGrid w:val="0"/>
          <w:szCs w:val="20"/>
        </w:rPr>
        <w:tab/>
      </w:r>
      <w:r w:rsidRPr="004A5E6E">
        <w:rPr>
          <w:rFonts w:eastAsia="Times New Roman"/>
          <w:snapToGrid w:val="0"/>
          <w:szCs w:val="20"/>
          <w:u w:val="single"/>
        </w:rPr>
        <w:t>For purposes of this section, a director has an indirect interest in a transaction if:</w:t>
      </w:r>
      <w:r w:rsidRPr="004A5E6E">
        <w:rPr>
          <w:rFonts w:eastAsia="Times New Roman"/>
          <w:snapToGrid w:val="0"/>
          <w:szCs w:val="20"/>
        </w:rPr>
        <w:t xml:space="preserve">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(1)</w:t>
      </w:r>
      <w:r w:rsidRPr="004A5E6E">
        <w:rPr>
          <w:rFonts w:eastAsia="Times New Roman"/>
          <w:snapToGrid w:val="0"/>
          <w:szCs w:val="20"/>
        </w:rPr>
        <w:tab/>
      </w:r>
      <w:r w:rsidRPr="004A5E6E">
        <w:rPr>
          <w:rFonts w:eastAsia="Times New Roman"/>
          <w:snapToGrid w:val="0"/>
          <w:szCs w:val="20"/>
          <w:u w:val="single"/>
        </w:rPr>
        <w:t xml:space="preserve">another entity in which he has a material financial interest or in which he is a general partner is a party to the transaction;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(2)</w:t>
      </w:r>
      <w:r w:rsidRPr="004A5E6E">
        <w:rPr>
          <w:rFonts w:eastAsia="Times New Roman"/>
          <w:snapToGrid w:val="0"/>
          <w:szCs w:val="20"/>
        </w:rPr>
        <w:tab/>
      </w:r>
      <w:r w:rsidRPr="004A5E6E">
        <w:rPr>
          <w:rFonts w:eastAsia="Times New Roman"/>
          <w:snapToGrid w:val="0"/>
          <w:szCs w:val="20"/>
          <w:u w:val="single"/>
        </w:rPr>
        <w:t>another entity of which he is a director, officer, member, or trustee is a party to the transaction and the transaction is or should be considered by the board; 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u w:val="single"/>
        </w:rPr>
        <w:t>(3)</w:t>
      </w:r>
      <w:r w:rsidRPr="004A5E6E">
        <w:rPr>
          <w:rFonts w:eastAsia="Times New Roman"/>
          <w:snapToGrid w:val="0"/>
          <w:szCs w:val="20"/>
        </w:rPr>
        <w:tab/>
      </w:r>
      <w:r w:rsidRPr="004A5E6E">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u w:val="single"/>
        </w:rPr>
        <w:t>(C)</w:t>
      </w:r>
      <w:r w:rsidRPr="004A5E6E">
        <w:rPr>
          <w:rFonts w:eastAsia="Times New Roman"/>
          <w:snapToGrid w:val="0"/>
          <w:szCs w:val="20"/>
        </w:rPr>
        <w:tab/>
      </w:r>
      <w:r w:rsidRPr="004A5E6E">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SECTION</w:t>
      </w:r>
      <w:r w:rsidRPr="004A5E6E">
        <w:rPr>
          <w:rFonts w:eastAsia="Times New Roman"/>
          <w:snapToGrid w:val="0"/>
          <w:szCs w:val="20"/>
        </w:rPr>
        <w:tab/>
        <w:t>2.</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2</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Ports Authority Management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101.</w:t>
      </w:r>
      <w:r w:rsidRPr="004A5E6E">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102.</w:t>
      </w:r>
      <w:r w:rsidRPr="004A5E6E">
        <w:rPr>
          <w:rFonts w:eastAsia="Times New Roman"/>
          <w:snapToGrid w:val="0"/>
          <w:szCs w:val="20"/>
        </w:rPr>
        <w:tab/>
        <w:t>(A)</w:t>
      </w:r>
      <w:r w:rsidRPr="004A5E6E">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w:t>
      </w:r>
      <w:r w:rsidRPr="004A5E6E">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103.</w:t>
      </w:r>
      <w:r w:rsidRPr="004A5E6E">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w:t>
      </w:r>
      <w:r w:rsidRPr="004A5E6E">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105.</w:t>
      </w:r>
      <w:r w:rsidRPr="004A5E6E">
        <w:rPr>
          <w:rFonts w:eastAsia="Times New Roman"/>
          <w:snapToGrid w:val="0"/>
          <w:szCs w:val="20"/>
        </w:rPr>
        <w:tab/>
        <w:t xml:space="preserve">The director of port operations for the port of Georgetown is charged with the affirmative duty to carry out the </w:t>
      </w:r>
      <w:r w:rsidRPr="004A5E6E">
        <w:rPr>
          <w:rFonts w:eastAsia="Times New Roman"/>
          <w:snapToGrid w:val="0"/>
          <w:szCs w:val="20"/>
        </w:rPr>
        <w:lastRenderedPageBreak/>
        <w:t>mission, policies, and direction of the authority for the port of Georgetown as established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3.</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140(5)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“(5)</w:t>
      </w:r>
      <w:r w:rsidRPr="004A5E6E">
        <w:rPr>
          <w:rFonts w:eastAsia="Times New Roman"/>
          <w:snapToGrid w:val="0"/>
          <w:szCs w:val="20"/>
        </w:rPr>
        <w:tab/>
      </w:r>
      <w:r w:rsidRPr="004A5E6E">
        <w:rPr>
          <w:rFonts w:eastAsia="Times New Roman"/>
          <w:strike/>
          <w:snapToGrid w:val="0"/>
          <w:szCs w:val="20"/>
        </w:rPr>
        <w:t>Shall appoint and employ and dismiss at pleasure such employees as may be selected by the board of the Authority and fix and pay the compensation thereof</w:t>
      </w:r>
      <w:r w:rsidRPr="004A5E6E">
        <w:rPr>
          <w:rFonts w:eastAsia="Times New Roman"/>
          <w:snapToGrid w:val="0"/>
          <w:szCs w:val="20"/>
        </w:rPr>
        <w:t xml:space="preserve"> </w:t>
      </w:r>
      <w:r w:rsidRPr="004A5E6E">
        <w:rPr>
          <w:rFonts w:eastAsia="Times New Roman"/>
          <w:snapToGrid w:val="0"/>
          <w:szCs w:val="20"/>
          <w:u w:val="single"/>
        </w:rPr>
        <w:t>Shall adopt an organizational structure for authority operations implemented by the executive director</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4.</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 of the 1976 Code is amended by adding appropriately numbered new items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develop a long</w:t>
      </w:r>
      <w:r w:rsidRPr="004A5E6E">
        <w:rPr>
          <w:rFonts w:eastAsia="Times New Roman"/>
          <w:snapToGrid w:val="0"/>
          <w:szCs w:val="20"/>
        </w:rPr>
        <w:noBreakHyphen/>
        <w:t>range port development and capital financing plan, with a minimum twenty</w:t>
      </w:r>
      <w:r w:rsidRPr="004A5E6E">
        <w:rPr>
          <w:rFonts w:eastAsia="Times New Roman"/>
          <w:snapToGrid w:val="0"/>
          <w:szCs w:val="20"/>
        </w:rPr>
        <w:noBreakHyphen/>
        <w:t>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account for changing conditions.  The long</w:t>
      </w:r>
      <w:r w:rsidRPr="004A5E6E">
        <w:rPr>
          <w:rFonts w:eastAsia="Times New Roman"/>
          <w:snapToGrid w:val="0"/>
          <w:szCs w:val="20"/>
        </w:rPr>
        <w:noBreakHyphen/>
        <w:t>range plan must be submitted to the General Assembly;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review port operations and proposals for future operations and construction to determine whether utilizing a public</w:t>
      </w:r>
      <w:r w:rsidRPr="004A5E6E">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is directed to take all necessary steps it finds reasonable to 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5.</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1040.</w:t>
      </w:r>
      <w:r w:rsidRPr="004A5E6E">
        <w:rPr>
          <w:rFonts w:eastAsia="Times New Roman"/>
          <w:snapToGrid w:val="0"/>
          <w:szCs w:val="20"/>
        </w:rPr>
        <w:tab/>
        <w:t xml:space="preserve">At least once </w:t>
      </w:r>
      <w:r w:rsidRPr="004A5E6E">
        <w:rPr>
          <w:rFonts w:eastAsia="Times New Roman"/>
          <w:strike/>
          <w:snapToGrid w:val="0"/>
          <w:szCs w:val="20"/>
        </w:rPr>
        <w:t>in</w:t>
      </w:r>
      <w:r w:rsidRPr="004A5E6E">
        <w:rPr>
          <w:rFonts w:eastAsia="Times New Roman"/>
          <w:snapToGrid w:val="0"/>
          <w:szCs w:val="20"/>
        </w:rPr>
        <w:t xml:space="preserve"> each year the authority shall </w:t>
      </w:r>
      <w:r w:rsidRPr="004A5E6E">
        <w:rPr>
          <w:rFonts w:eastAsia="Times New Roman"/>
          <w:strike/>
          <w:snapToGrid w:val="0"/>
          <w:szCs w:val="20"/>
        </w:rPr>
        <w:t xml:space="preserve">publish once in some newspaper published in Charleston </w:t>
      </w:r>
      <w:r w:rsidRPr="004A5E6E">
        <w:rPr>
          <w:rFonts w:eastAsia="Times New Roman"/>
          <w:strike/>
          <w:snapToGrid w:val="0"/>
          <w:szCs w:val="20"/>
        </w:rPr>
        <w:lastRenderedPageBreak/>
        <w:t>County</w:t>
      </w:r>
      <w:r w:rsidRPr="004A5E6E">
        <w:rPr>
          <w:rFonts w:eastAsia="Times New Roman"/>
          <w:snapToGrid w:val="0"/>
          <w:szCs w:val="20"/>
        </w:rPr>
        <w:t xml:space="preserve"> </w:t>
      </w:r>
      <w:r w:rsidRPr="004A5E6E">
        <w:rPr>
          <w:rFonts w:eastAsia="Times New Roman"/>
          <w:snapToGrid w:val="0"/>
          <w:szCs w:val="20"/>
          <w:u w:val="single"/>
        </w:rPr>
        <w:t>furnish the Governor and conspicuously post on the authority’s Internet website</w:t>
      </w:r>
      <w:r w:rsidRPr="004A5E6E">
        <w:rPr>
          <w:rFonts w:eastAsia="Times New Roman"/>
          <w:snapToGrid w:val="0"/>
          <w:szCs w:val="20"/>
        </w:rPr>
        <w:t xml:space="preserve"> a complete detailed statement of all </w:t>
      </w:r>
      <w:r w:rsidRPr="004A5E6E">
        <w:rPr>
          <w:rFonts w:eastAsia="Times New Roman"/>
          <w:strike/>
          <w:snapToGrid w:val="0"/>
          <w:szCs w:val="20"/>
        </w:rPr>
        <w:t>moneys</w:t>
      </w:r>
      <w:r w:rsidRPr="004A5E6E">
        <w:rPr>
          <w:rFonts w:eastAsia="Times New Roman"/>
          <w:snapToGrid w:val="0"/>
          <w:szCs w:val="20"/>
        </w:rPr>
        <w:t xml:space="preserve"> </w:t>
      </w:r>
      <w:r w:rsidRPr="004A5E6E">
        <w:rPr>
          <w:rFonts w:eastAsia="Times New Roman"/>
          <w:snapToGrid w:val="0"/>
          <w:szCs w:val="20"/>
          <w:u w:val="single"/>
        </w:rPr>
        <w:t>monies</w:t>
      </w:r>
      <w:r w:rsidRPr="004A5E6E">
        <w:rPr>
          <w:rFonts w:eastAsia="Times New Roman"/>
          <w:snapToGrid w:val="0"/>
          <w:szCs w:val="20"/>
        </w:rPr>
        <w:t xml:space="preserve"> received and disbursed by the authority during the preceding year.  Such statement shall also show the several sources from which such funds were received and the balance on hand at the time of publishing the statement and shall show the complete financial condition of the authority.”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6.</w:t>
      </w:r>
      <w:r w:rsidRPr="004A5E6E">
        <w:rPr>
          <w:rFonts w:eastAsia="Times New Roman"/>
          <w:snapToGrid w:val="0"/>
          <w:szCs w:val="20"/>
        </w:rPr>
        <w:tab/>
        <w:t>Article 11, Chapter 3, Title 54 of the 1976 Code is amended by adding:</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1060.</w:t>
      </w:r>
      <w:r w:rsidRPr="004A5E6E">
        <w:rPr>
          <w:rFonts w:eastAsia="Times New Roman"/>
          <w:snapToGrid w:val="0"/>
          <w:szCs w:val="20"/>
        </w:rPr>
        <w:tab/>
        <w:t>(A)</w:t>
      </w:r>
      <w:r w:rsidRPr="004A5E6E">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authority shall maintain a transaction register that includes a complete record of all appropriated funds expended over one hundred dollars, from whatever source for whatever purpose.  The register must be prominently posted on the authority’s internet website and made available for public viewing and downloading.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(C)(1)</w:t>
      </w:r>
      <w:r w:rsidRPr="004A5E6E">
        <w:rPr>
          <w:rFonts w:eastAsia="Times New Roman"/>
          <w:snapToGrid w:val="0"/>
          <w:szCs w:val="20"/>
        </w:rPr>
        <w:tab/>
        <w:t>The register must include for each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transaction amount;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(b)</w:t>
      </w:r>
      <w:r w:rsidRPr="004A5E6E">
        <w:rPr>
          <w:rFonts w:eastAsia="Times New Roman"/>
          <w:snapToGrid w:val="0"/>
          <w:szCs w:val="20"/>
        </w:rPr>
        <w:tab/>
        <w:t>the name of the payee;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(c)</w:t>
      </w:r>
      <w:r w:rsidRPr="004A5E6E">
        <w:rPr>
          <w:rFonts w:eastAsia="Times New Roman"/>
          <w:snapToGrid w:val="0"/>
          <w:szCs w:val="20"/>
        </w:rPr>
        <w:tab/>
        <w:t>a statement providing a detailed description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The register must not include an entry for salary, wages, or other compensation paid to individual employees.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The register must not include any information that can be used to identify an individual employee.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The register must be accompanied by a complete explanation of any codes or acronyms used to identify a payee or an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(D)</w:t>
      </w:r>
      <w:r w:rsidRPr="004A5E6E">
        <w:rPr>
          <w:rFonts w:eastAsia="Times New Roman"/>
          <w:snapToGrid w:val="0"/>
          <w:szCs w:val="20"/>
        </w:rPr>
        <w:tab/>
        <w:t>The register must be searchable and updated at least once a month.  Each monthly register must be maintained on the internet website for at least five years.”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7.</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13</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Legislative Oversight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t>Section 54</w:t>
      </w:r>
      <w:r w:rsidRPr="004A5E6E">
        <w:rPr>
          <w:rFonts w:eastAsia="Times New Roman"/>
          <w:snapToGrid w:val="0"/>
          <w:szCs w:val="20"/>
        </w:rPr>
        <w:noBreakHyphen/>
        <w:t>3</w:t>
      </w:r>
      <w:r w:rsidRPr="004A5E6E">
        <w:rPr>
          <w:rFonts w:eastAsia="Times New Roman"/>
          <w:snapToGrid w:val="0"/>
          <w:szCs w:val="20"/>
        </w:rPr>
        <w:noBreakHyphen/>
        <w:t>1300.</w:t>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Senate Transportation Committee and the House of Representatives Ways and Means Committee must each conduct an oversight review of the authority and its operations at least once every two years.  The committees may coordinate their reviews to reduce duplication.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written report of the findings from each oversight review must be published in the journals of both houses and made available on the General Assembly’s Internet website.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Each committee may undertake any additional reviews, studies, or evaluations as it considers necessary.</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1310.</w:t>
      </w:r>
      <w:r w:rsidRPr="004A5E6E">
        <w:rPr>
          <w:rFonts w:eastAsia="Times New Roman"/>
          <w:snapToGrid w:val="0"/>
          <w:szCs w:val="20"/>
        </w:rPr>
        <w:tab/>
        <w:t>(A)</w:t>
      </w:r>
      <w:r w:rsidRPr="004A5E6E">
        <w:rPr>
          <w:rFonts w:eastAsia="Times New Roman"/>
          <w:snapToGrid w:val="0"/>
          <w:szCs w:val="20"/>
        </w:rPr>
        <w:tab/>
        <w:t>The oversight report required by this article must at least contain:</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a performance review of each member of the board during the previous two years;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a performance review of the State Ports Authority executive director;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(1)</w:t>
      </w:r>
      <w:r w:rsidRPr="004A5E6E">
        <w:rPr>
          <w:rFonts w:eastAsia="Times New Roman"/>
          <w:snapToGrid w:val="0"/>
          <w:szCs w:val="20"/>
        </w:rPr>
        <w:tab/>
        <w:t>knowledge and application of substantive port issues;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 xml:space="preserve">the ability to perceive relevant issues;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 xml:space="preserve">absence of influence by political considerations;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 xml:space="preserve">absence of influence by identities of labor unions;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(5)</w:t>
      </w:r>
      <w:r w:rsidRPr="004A5E6E">
        <w:rPr>
          <w:rFonts w:eastAsia="Times New Roman"/>
          <w:snapToGrid w:val="0"/>
          <w:szCs w:val="20"/>
        </w:rPr>
        <w:tab/>
        <w:t xml:space="preserve">courtesy to all persons appearing before the board;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(6)</w:t>
      </w:r>
      <w:r w:rsidRPr="004A5E6E">
        <w:rPr>
          <w:rFonts w:eastAsia="Times New Roman"/>
          <w:snapToGrid w:val="0"/>
          <w:szCs w:val="20"/>
        </w:rPr>
        <w:tab/>
        <w:t>temperament and demeanor in general, preparation for hearings, and attentiveness during hearings;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(7)</w:t>
      </w:r>
      <w:r w:rsidRPr="004A5E6E">
        <w:rPr>
          <w:rFonts w:eastAsia="Times New Roman"/>
          <w:snapToGrid w:val="0"/>
          <w:szCs w:val="20"/>
        </w:rPr>
        <w:tab/>
        <w:t>any other issue the committee deems appropriate.</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1320.</w:t>
      </w:r>
      <w:r w:rsidRPr="004A5E6E">
        <w:rPr>
          <w:rFonts w:eastAsia="Times New Roman"/>
          <w:snapToGrid w:val="0"/>
          <w:szCs w:val="20"/>
        </w:rPr>
        <w:tab/>
      </w:r>
      <w:r w:rsidRPr="004A5E6E">
        <w:rPr>
          <w:rFonts w:eastAsia="Times New Roman"/>
          <w:snapToGrid w:val="0"/>
          <w:szCs w:val="20"/>
        </w:rPr>
        <w:tab/>
        <w:t xml:space="preserve">A draft of a board member’s and executive director’s performance review and the evaluations of the </w:t>
      </w:r>
      <w:r w:rsidRPr="004A5E6E">
        <w:rPr>
          <w:rFonts w:eastAsia="Times New Roman"/>
          <w:snapToGrid w:val="0"/>
          <w:szCs w:val="20"/>
        </w:rPr>
        <w:lastRenderedPageBreak/>
        <w:t>actions of the board, must be submitted to the appropriate party, and that party must be allowed an opportunity to be heard before the committee conducting the oversight review by the performance review or evaluation, as the case may be, is final.  The final performance review of a board member must be made a part of the member’s record for consideration if the member seeks reappointment to the board.”</w:t>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8.</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155.</w:t>
      </w:r>
      <w:r w:rsidRPr="004A5E6E">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4A5E6E">
        <w:rPr>
          <w:rFonts w:eastAsia="Times New Roman"/>
          <w:snapToGrid w:val="0"/>
          <w:szCs w:val="20"/>
        </w:rPr>
        <w:noBreakHyphen/>
        <w:t>3</w:t>
      </w:r>
      <w:r w:rsidRPr="004A5E6E">
        <w:rPr>
          <w:rFonts w:eastAsia="Times New Roman"/>
          <w:snapToGrid w:val="0"/>
          <w:szCs w:val="20"/>
        </w:rPr>
        <w:noBreakHyphen/>
        <w:t>130.”</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9.</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w:t>
      </w:r>
      <w:r w:rsidRPr="004A5E6E">
        <w:rPr>
          <w:rFonts w:eastAsia="Times New Roman"/>
          <w:snapToGrid w:val="0"/>
          <w:szCs w:val="20"/>
        </w:rPr>
        <w:tab/>
        <w:t>Through the authority the State may engage in promoting, developing, constructing, equipping, maintaining</w:t>
      </w:r>
      <w:r w:rsidRPr="004A5E6E">
        <w:rPr>
          <w:rFonts w:eastAsia="Times New Roman"/>
          <w:snapToGrid w:val="0"/>
          <w:szCs w:val="20"/>
          <w:u w:val="single"/>
        </w:rPr>
        <w:t>,</w:t>
      </w:r>
      <w:r w:rsidRPr="004A5E6E">
        <w:rPr>
          <w:rFonts w:eastAsia="Times New Roman"/>
          <w:snapToGrid w:val="0"/>
          <w:szCs w:val="20"/>
        </w:rPr>
        <w:t xml:space="preserve"> and operating the harbors or seaports within the State, namely Charleston, Georgetown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Port Royal</w:t>
      </w:r>
      <w:r w:rsidRPr="004A5E6E">
        <w:rPr>
          <w:rFonts w:eastAsia="Times New Roman"/>
          <w:snapToGrid w:val="0"/>
          <w:szCs w:val="20"/>
        </w:rPr>
        <w:t xml:space="preserve"> </w:t>
      </w:r>
      <w:r w:rsidRPr="004A5E6E">
        <w:rPr>
          <w:rFonts w:eastAsia="Times New Roman"/>
          <w:snapToGrid w:val="0"/>
          <w:szCs w:val="20"/>
          <w:u w:val="single"/>
        </w:rPr>
        <w:t>Jasper</w:t>
      </w:r>
      <w:r w:rsidRPr="004A5E6E">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rPr>
          <w:rFonts w:eastAsia="Times New Roman"/>
          <w:szCs w:val="20"/>
          <w:u w:color="000000" w:themeColor="text1"/>
        </w:rPr>
        <w:t>SECTION</w:t>
      </w:r>
      <w:r w:rsidRPr="004A5E6E">
        <w:rPr>
          <w:rFonts w:eastAsia="Times New Roman"/>
          <w:szCs w:val="20"/>
          <w:u w:color="000000" w:themeColor="text1"/>
        </w:rPr>
        <w:tab/>
        <w:t>10.</w:t>
      </w:r>
      <w:r w:rsidRPr="004A5E6E">
        <w:rPr>
          <w:rFonts w:eastAsia="Times New Roman"/>
          <w:szCs w:val="20"/>
          <w:u w:color="000000" w:themeColor="text1"/>
        </w:rPr>
        <w:tab/>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130(1)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E6E">
        <w:rPr>
          <w:rFonts w:eastAsia="Times New Roman"/>
          <w:szCs w:val="20"/>
          <w:u w:color="000000" w:themeColor="text1"/>
        </w:rPr>
        <w:tab/>
        <w:t>“(1)</w:t>
      </w:r>
      <w:r w:rsidRPr="004A5E6E">
        <w:rPr>
          <w:rFonts w:eastAsia="Times New Roman"/>
          <w:szCs w:val="20"/>
          <w:u w:color="000000" w:themeColor="text1"/>
        </w:rPr>
        <w:tab/>
      </w:r>
      <w:r w:rsidRPr="004A5E6E">
        <w:t>To develop and improve the harbors or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xml:space="preserve"> for the handling of water</w:t>
      </w:r>
      <w:r w:rsidRPr="004A5E6E">
        <w:noBreakHyphen/>
        <w:t>borne commerce from and to any part of the State and other states and foreign countries;”</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t>SECTION</w:t>
      </w:r>
      <w:r w:rsidRPr="004A5E6E">
        <w:tab/>
        <w:t>11.</w:t>
      </w:r>
      <w:r w:rsidRPr="004A5E6E">
        <w:tab/>
      </w:r>
      <w:r w:rsidRPr="004A5E6E">
        <w:rPr>
          <w:rFonts w:eastAsia="Times New Roman"/>
          <w:szCs w:val="20"/>
          <w:u w:color="000000" w:themeColor="text1"/>
        </w:rPr>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130(8) of the 1976 Code is amended to read: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zCs w:val="20"/>
          <w:u w:color="000000" w:themeColor="text1"/>
        </w:rPr>
        <w:lastRenderedPageBreak/>
        <w:tab/>
      </w:r>
      <w:r w:rsidRPr="004A5E6E">
        <w:rPr>
          <w:rFonts w:eastAsia="Times New Roman"/>
          <w:szCs w:val="20"/>
          <w:u w:color="000000" w:themeColor="text1"/>
        </w:rPr>
        <w:tab/>
        <w:t>“</w:t>
      </w:r>
      <w:r w:rsidRPr="004A5E6E">
        <w:t>(8)</w:t>
      </w:r>
      <w:r w:rsidRPr="004A5E6E">
        <w:tab/>
        <w:t>To promote, develop, construct, equip, maintain</w:t>
      </w:r>
      <w:r w:rsidRPr="004A5E6E">
        <w:rPr>
          <w:u w:val="single"/>
        </w:rPr>
        <w:t>,</w:t>
      </w:r>
      <w:r w:rsidRPr="004A5E6E">
        <w:t xml:space="preserve"> and operate a harbor or harbors within this State on the Savannah River, and in furtherance thereof have all of the powers, purposes</w:t>
      </w:r>
      <w:r w:rsidRPr="004A5E6E">
        <w:rPr>
          <w:u w:val="single"/>
        </w:rPr>
        <w:t>,</w:t>
      </w:r>
      <w:r w:rsidRPr="004A5E6E">
        <w:t xml:space="preserve"> and authority given by law to the authority in reference to the harbors and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and”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12.</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115.</w:t>
      </w:r>
      <w:r w:rsidRPr="004A5E6E">
        <w:rPr>
          <w:rFonts w:eastAsia="Times New Roman"/>
          <w:snapToGrid w:val="0"/>
          <w:szCs w:val="20"/>
        </w:rPr>
        <w:tab/>
        <w:t xml:space="preserve">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w:t>
      </w:r>
      <w:r w:rsidRPr="004A5E6E">
        <w:rPr>
          <w:rFonts w:eastAsia="Times New Roman"/>
          <w:snapToGrid w:val="0"/>
          <w:szCs w:val="20"/>
        </w:rPr>
        <w:lastRenderedPageBreak/>
        <w:t>than historically has been used by the South Carolina State Ports Authority in connection with their existing port operations.”</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SECTION</w:t>
      </w:r>
      <w:r w:rsidRPr="004A5E6E">
        <w:rPr>
          <w:u w:color="000000" w:themeColor="text1"/>
        </w:rPr>
        <w:tab/>
        <w:t>13.</w:t>
      </w:r>
      <w:r w:rsidRPr="004A5E6E">
        <w:rPr>
          <w:u w:color="000000" w:themeColor="text1"/>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ab/>
        <w:t>“Section 54</w:t>
      </w:r>
      <w:r w:rsidRPr="004A5E6E">
        <w:rPr>
          <w:u w:color="000000" w:themeColor="text1"/>
        </w:rPr>
        <w:noBreakHyphen/>
        <w:t>3</w:t>
      </w:r>
      <w:r w:rsidRPr="004A5E6E">
        <w:rPr>
          <w:u w:color="000000" w:themeColor="text1"/>
        </w:rPr>
        <w:noBreakHyphen/>
        <w:t>117.</w:t>
      </w:r>
      <w:r w:rsidRPr="004A5E6E">
        <w:rPr>
          <w:u w:color="000000" w:themeColor="text1"/>
        </w:rPr>
        <w:tab/>
        <w:t>The authority shall take all action necessary to expeditiously complete construction of a container terminal in North Charleston.”</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u w:color="000000" w:themeColor="text1"/>
        </w:rPr>
        <w:t>SECTION</w:t>
      </w:r>
      <w:r w:rsidRPr="004A5E6E">
        <w:rPr>
          <w:u w:color="000000" w:themeColor="text1"/>
        </w:rPr>
        <w:tab/>
        <w:t>14.</w:t>
      </w:r>
      <w:r w:rsidRPr="004A5E6E">
        <w:rPr>
          <w:u w:color="000000" w:themeColor="text1"/>
        </w:rPr>
        <w:tab/>
      </w:r>
      <w:r w:rsidRPr="004A5E6E">
        <w:rPr>
          <w:rFonts w:eastAsia="Times New Roman"/>
          <w:snapToGrid w:val="0"/>
          <w:szCs w:val="20"/>
        </w:rPr>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118.</w:t>
      </w:r>
      <w:r w:rsidRPr="004A5E6E">
        <w:rPr>
          <w:rFonts w:eastAsia="Times New Roman"/>
          <w:snapToGrid w:val="0"/>
          <w:szCs w:val="20"/>
        </w:rPr>
        <w:tab/>
        <w:t>The board may fully explore public-private partnership opportunities at its ports.  It shall be the policy of the authority that any such public-private partnership that benefits the State of South Carolina are to be entered into by the board.  However, the board retains all authority associated with entering a public-private partnership on behalf of the port. ”</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15.</w:t>
      </w:r>
      <w:r w:rsidRPr="004A5E6E">
        <w:rPr>
          <w:rFonts w:eastAsia="Times New Roman"/>
          <w:snapToGrid w:val="0"/>
          <w:szCs w:val="20"/>
        </w:rPr>
        <w:tab/>
        <w:t>Chapter 1, Title 13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13</w:t>
      </w:r>
      <w:r w:rsidRPr="004A5E6E">
        <w:rPr>
          <w:rFonts w:eastAsia="Times New Roman"/>
          <w:snapToGrid w:val="0"/>
          <w:szCs w:val="20"/>
        </w:rPr>
        <w:noBreakHyphen/>
        <w:t>1</w:t>
      </w:r>
      <w:r w:rsidRPr="004A5E6E">
        <w:rPr>
          <w:rFonts w:eastAsia="Times New Roman"/>
          <w:snapToGrid w:val="0"/>
          <w:szCs w:val="20"/>
        </w:rPr>
        <w:noBreakHyphen/>
        <w:t>1355.</w:t>
      </w:r>
      <w:r w:rsidRPr="004A5E6E">
        <w:rPr>
          <w:rFonts w:eastAsia="Times New Roman"/>
          <w:snapToGrid w:val="0"/>
          <w:szCs w:val="20"/>
        </w:rPr>
        <w:tab/>
        <w:t>All tracks, spurs, switches, terminal, terminal facilities, road beds, rights</w:t>
      </w:r>
      <w:r w:rsidRPr="004A5E6E">
        <w:rPr>
          <w:rFonts w:eastAsia="Times New Roman"/>
          <w:snapToGrid w:val="0"/>
          <w:szCs w:val="20"/>
        </w:rPr>
        <w:noBreakHyphen/>
        <w:t>of</w:t>
      </w:r>
      <w:r w:rsidRPr="004A5E6E">
        <w:rPr>
          <w:rFonts w:eastAsia="Times New Roman"/>
          <w:snapToGrid w:val="0"/>
          <w:szCs w:val="20"/>
        </w:rPr>
        <w:noBreakHyphen/>
        <w:t>way, bridges, stations, railroad cars, locomotives, or other vehicles constructed for operation over railroad tracks, crossing signs, lights, signals, storage, and all associated structures and equipment which are necessary for the operation of any railroad located on any ‘applicable federal military installation’ or ‘applicable federal facility’ as defined in Section 12</w:t>
      </w:r>
      <w:r w:rsidRPr="004A5E6E">
        <w:rPr>
          <w:rFonts w:eastAsia="Times New Roman"/>
          <w:snapToGrid w:val="0"/>
          <w:szCs w:val="20"/>
        </w:rPr>
        <w:noBreakHyphen/>
        <w:t>6</w:t>
      </w:r>
      <w:r w:rsidRPr="004A5E6E">
        <w:rPr>
          <w:rFonts w:eastAsia="Times New Roman"/>
          <w:snapToGrid w:val="0"/>
          <w:szCs w:val="20"/>
        </w:rPr>
        <w:noBreakHyphen/>
        <w:t>3450 upon transfer to the State of South Carolina shall immediately vest, in fee simple absolute, in the Division of Public Railways of the Department of Commerce.  The provisions of this section are remedial and shall be deemed to be retroactive.</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657BDD"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16.</w:t>
      </w:r>
      <w:r w:rsidRPr="004A5E6E">
        <w:rPr>
          <w:rFonts w:eastAsia="Times New Roman"/>
          <w:snapToGrid w:val="0"/>
          <w:szCs w:val="20"/>
        </w:rPr>
        <w:tab/>
        <w:t>This act takes effect January 1, 2010.</w:t>
      </w:r>
      <w:r w:rsidRPr="004A5E6E">
        <w:rPr>
          <w:rFonts w:eastAsia="Times New Roman"/>
          <w:snapToGrid w:val="0"/>
          <w:szCs w:val="20"/>
        </w:rPr>
        <w:tab/>
      </w:r>
    </w:p>
    <w:p w:rsidR="003F0222" w:rsidRDefault="001A29D9" w:rsidP="0065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495CCC">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250" w:rsidRDefault="00CE6250">
      <w:r>
        <w:separator/>
      </w:r>
    </w:p>
  </w:endnote>
  <w:endnote w:type="continuationSeparator" w:id="1">
    <w:p w:rsidR="00CE6250" w:rsidRDefault="00CE62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92034-3829-40B1-8C15-FB0FFA5691A8}"/>
    <w:embedBold r:id="rId2" w:fontKey="{23B608BE-4707-42E2-8BBE-E3C8AA83424C}"/>
  </w:font>
  <w:font w:name="Calibri">
    <w:panose1 w:val="020F0502020204030204"/>
    <w:charset w:val="00"/>
    <w:family w:val="swiss"/>
    <w:pitch w:val="variable"/>
    <w:sig w:usb0="A00002EF" w:usb1="4000207B" w:usb2="00000000" w:usb3="00000000" w:csb0="0000009F" w:csb1="00000000"/>
    <w:embedRegular r:id="rId3" w:fontKey="{B70BFB88-2523-4E9D-BB32-74CAFC7188C0}"/>
  </w:font>
  <w:font w:name="Tahoma">
    <w:panose1 w:val="020B0604030504040204"/>
    <w:charset w:val="00"/>
    <w:family w:val="swiss"/>
    <w:pitch w:val="variable"/>
    <w:sig w:usb0="61002A87" w:usb1="80000000" w:usb2="00000008" w:usb3="00000000" w:csb0="000101FF" w:csb1="00000000"/>
    <w:embedRegular r:id="rId4" w:fontKey="{13FD0E10-5EED-40A2-BB49-249551CA627A}"/>
  </w:font>
  <w:font w:name="Cambria">
    <w:panose1 w:val="02040503050406030204"/>
    <w:charset w:val="00"/>
    <w:family w:val="roman"/>
    <w:pitch w:val="variable"/>
    <w:sig w:usb0="A00002EF" w:usb1="4000004B" w:usb2="00000000" w:usb3="00000000" w:csb0="0000009F" w:csb1="00000000"/>
    <w:embedRegular r:id="rId5" w:fontKey="{BE1B9C7B-4229-45F8-AA92-1EBBF3BB9F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250" w:rsidRDefault="00CE6250">
    <w:pPr>
      <w:pStyle w:val="Footer"/>
      <w:tabs>
        <w:tab w:val="clear" w:pos="4680"/>
        <w:tab w:val="clear" w:pos="9360"/>
        <w:tab w:val="center" w:pos="2995"/>
      </w:tabs>
      <w:spacing w:before="120"/>
    </w:pPr>
    <w:r>
      <w:t>[351-</w:t>
    </w:r>
    <w:fldSimple w:instr=" PAGE  \* MERGEFORMAT ">
      <w:r w:rsidR="00495C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250" w:rsidRDefault="00CE6250">
    <w:pPr>
      <w:pStyle w:val="Footer"/>
      <w:tabs>
        <w:tab w:val="clear" w:pos="4680"/>
        <w:tab w:val="clear" w:pos="9360"/>
        <w:tab w:val="center" w:pos="2995"/>
      </w:tabs>
      <w:spacing w:before="120"/>
    </w:pPr>
    <w:r>
      <w:t>[351]</w:t>
    </w:r>
    <w:r>
      <w:tab/>
    </w:r>
    <w:fldSimple w:instr=" PAGE  \* MERGEFORMAT ">
      <w:r w:rsidR="00495C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250" w:rsidRDefault="00CE6250">
      <w:r>
        <w:separator/>
      </w:r>
    </w:p>
  </w:footnote>
  <w:footnote w:type="continuationSeparator" w:id="1">
    <w:p w:rsidR="00CE6250" w:rsidRDefault="00CE62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82B7C"/>
    <w:rsid w:val="00195D34"/>
    <w:rsid w:val="001A29D9"/>
    <w:rsid w:val="001D6123"/>
    <w:rsid w:val="001E3038"/>
    <w:rsid w:val="002C6763"/>
    <w:rsid w:val="00350122"/>
    <w:rsid w:val="003F0222"/>
    <w:rsid w:val="00435109"/>
    <w:rsid w:val="00495CCC"/>
    <w:rsid w:val="00561F1D"/>
    <w:rsid w:val="005904F2"/>
    <w:rsid w:val="00657BDD"/>
    <w:rsid w:val="00691D80"/>
    <w:rsid w:val="006E4E53"/>
    <w:rsid w:val="009010F6"/>
    <w:rsid w:val="009C3173"/>
    <w:rsid w:val="00A15B5C"/>
    <w:rsid w:val="00B27FCC"/>
    <w:rsid w:val="00B573F8"/>
    <w:rsid w:val="00B651AD"/>
    <w:rsid w:val="00CA64F6"/>
    <w:rsid w:val="00CE6250"/>
    <w:rsid w:val="00D05D89"/>
    <w:rsid w:val="00D41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5009</Words>
  <Characters>24098</Characters>
  <Application>Microsoft Office Word</Application>
  <DocSecurity>0</DocSecurity>
  <Lines>634</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2009-04-30T20:55:00Z</cp:lastPrinted>
  <dcterms:created xsi:type="dcterms:W3CDTF">2009-04-30T22:46:00Z</dcterms:created>
  <dcterms:modified xsi:type="dcterms:W3CDTF">2009-04-30T22:46:00Z</dcterms:modified>
</cp:coreProperties>
</file>