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THE CODE OF LAWS OF SOUTH CAROLINA, 1976, BY ADDING SECTION 39</w:t>
      </w:r>
      <w:r>
        <w:noBreakHyphen/>
        <w:t>5</w:t>
      </w:r>
      <w:r>
        <w:noBreakHyphen/>
        <w:t>180 SO AS TO MAKE IT AN UNLAWFUL TRADE PRACTICE FOR A BANK, BUILDING AND LOAN ASSOCIATION, SAVINGS AND LOAN ASSOCIATION, SAVINGS BANK, OR OTHER FINANCIAL INSTITUTION DOING ANY KIND OF BANKING BUSINESS IN THIS STATE TO FAIL TO RESPOND TO A SHORT SALE OFFER FOR THE PURCHASE OF REAL ESTATE WITHIN THIRTY CALENDAR DAYS OF THE OFFER’S RECEIPT.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5, Title 39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39</w:t>
      </w:r>
      <w:r>
        <w:noBreakHyphen/>
        <w:t>5</w:t>
      </w:r>
      <w:r>
        <w:noBreakHyphen/>
        <w:t>180.</w:t>
      </w:r>
      <w:r>
        <w:tab/>
        <w:t>Notwithstanding another provision of law, a bank, building and loan association, savings and loan association, savings bank, or other financial institution doing any kind of banking business in this State must either accept or reject a short sale offer for the purchase of real estate within thirty calendar days of the offer’s receipt.  A bank, building and loan association, savings and loan association, savings bank, or other financial institution doing any kind of banking business in this State that fails to accept or reject a short sale offer for the purchase of real estate within thirty calendar days of the offer’s receipt commits an unlawful trade practice under Section 39</w:t>
      </w:r>
      <w:r>
        <w:noBreakHyphen/>
        <w:t>5</w:t>
      </w:r>
      <w:r>
        <w:noBreakHyphen/>
        <w:t xml:space="preserve">20 and is subject to the provisions, penalties, and damages of the South Carolina Unfair Trade Practices Act.”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38181D-A5BE-4481-ADEB-2CE6539F5830}"/>
    <w:embedBold r:id="rId2" w:fontKey="{C62C84EB-FF07-4EE4-B4E7-8993997567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8015581-5EE7-48ED-99DC-A8B2C5F2436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179888E-82BD-44BF-AB63-83C79E0FA4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212ZW09"/>
    <w:docVar w:name="CoverBillType" w:val="b"/>
    <w:docVar w:name="docpath" w:val="L:\Council\bills\MS\7212ZW09.DOCX"/>
    <w:docVar w:name="dvBillNumber" w:val="3573"/>
    <w:docVar w:name="dvBillNumberPrefix" w:val="H. "/>
    <w:docVar w:name="dvOriginalBody" w:val="House"/>
    <w:docVar w:name="dvSteno" w:val="MS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221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NSC</cp:lastModifiedBy>
  <cp:revision>2</cp:revision>
  <cp:lastPrinted>2009-02-18T16:01:00Z</cp:lastPrinted>
  <dcterms:created xsi:type="dcterms:W3CDTF">2009-02-18T17:15:00Z</dcterms:created>
  <dcterms:modified xsi:type="dcterms:W3CDTF">2009-02-18T17:15:00Z</dcterms:modified>
</cp:coreProperties>
</file>