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44-36-10, CODE OF LAWS OF SOUTH CAROLINA, 1976, RELATING TO THE ESTABLISHMENT, PURPOSE, AND FUNCTIONS OF THE ALZHEIMER’S DISEASE REGISTRY IN THE UNIVERSITY OF SOUTH CAROLINA SCHOOL OF PUBLIC HEALTH, SO AS TO AUTHORIZE THE REGISTRY TO CONDUCT STUDIES AND RESEARCH ON VARIOUS ASPECTS OF ALZHEIMER’S DISEASE AND RELATED DISORDERS AND TO PROVIDE THAT CONTACT WITH BOTH PATIENTS AND PATIENT’S FAMILIES  MUST COMPLY WITH REGULATIONS PROMULGATED BY THE OFFICE OF RESEARCH AND STATISTICS.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44-36-10(C)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szCs w:val="24"/>
        </w:rPr>
        <w:t>(C)</w:t>
      </w:r>
      <w:r>
        <w:rPr>
          <w:szCs w:val="24"/>
        </w:rPr>
        <w:tab/>
        <w:t xml:space="preserve">In gathering data the registry shall rely upon, to the extent possible, data from existing sources;  however, the registry may contact families and physicians of persons reported to the registry for the purpose of gathering additional data and providing information on available public and private resources. </w:t>
      </w:r>
      <w:r>
        <w:rPr>
          <w:szCs w:val="24"/>
          <w:u w:val="single"/>
        </w:rPr>
        <w:t>The registry may conduct follow-back studies, prospective studies of the progression and treatment of Alzheimer’s disease and related disorders, and research on caregiving for individuals with Alzheimer’s disease or a related disorder, on services used by individuals with Alzheimer’s disease or a related disorder, and on causes of Alzheimer’s disease and related disorders that examines risks associated with area of residence.</w:t>
      </w:r>
      <w:r>
        <w:rPr>
          <w:szCs w:val="24"/>
        </w:rPr>
        <w:t xml:space="preserve"> Patient </w:t>
      </w:r>
      <w:r>
        <w:rPr>
          <w:szCs w:val="24"/>
          <w:u w:val="single"/>
        </w:rPr>
        <w:t>and family</w:t>
      </w:r>
      <w:r>
        <w:rPr>
          <w:szCs w:val="24"/>
        </w:rPr>
        <w:t xml:space="preserve"> contact following data received from the State Budget and Control Board </w:t>
      </w:r>
      <w:r>
        <w:rPr>
          <w:szCs w:val="24"/>
        </w:rPr>
        <w:lastRenderedPageBreak/>
        <w:t>Office of Research and Statistics must be done in accordance with regulations approved by the South Carolina Data Oversight Council and promulgated by the Office of Research and Statistics.”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6E8F87-B781-4637-840F-52FA583B37AC}"/>
    <w:embedBold r:id="rId2" w:fontKey="{53E431CD-EF2A-47D6-8925-C609389553F6}"/>
  </w:font>
  <w:font w:name="Calibri">
    <w:panose1 w:val="020F0502020204030204"/>
    <w:charset w:val="00"/>
    <w:family w:val="swiss"/>
    <w:pitch w:val="variable"/>
    <w:sig w:usb0="A00002EF" w:usb1="4000207B" w:usb2="00000000" w:usb3="00000000" w:csb0="0000009F" w:csb1="00000000"/>
    <w:embedRegular r:id="rId3" w:fontKey="{868E26F7-FB51-4A26-962F-55BFD051CBC0}"/>
  </w:font>
  <w:font w:name="Cambria">
    <w:panose1 w:val="02040503050406030204"/>
    <w:charset w:val="00"/>
    <w:family w:val="roman"/>
    <w:pitch w:val="variable"/>
    <w:sig w:usb0="A00002EF" w:usb1="4000004B" w:usb2="00000000" w:usb3="00000000" w:csb0="0000009F" w:csb1="00000000"/>
    <w:embedRegular r:id="rId4" w:fontKey="{11A4C788-8519-4D2C-837B-B5F11AA501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[3596]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62AC09"/>
    <w:docVar w:name="CoverBillType" w:val="b"/>
    <w:docVar w:name="docpath" w:val="L:\Council\bills\NBD\11262AC09.DOCX"/>
    <w:docVar w:name="dvBillNumber" w:val="3596"/>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262</Words>
  <Characters>1497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2009-02-11T23:32:00Z</cp:lastPrinted>
  <dcterms:created xsi:type="dcterms:W3CDTF">2009-02-25T14:00:00Z</dcterms:created>
  <dcterms:modified xsi:type="dcterms:W3CDTF">2009-02-25T14:00:00Z</dcterms:modified>
</cp:coreProperties>
</file>