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MRS. FRANKYE C. HULL, GUARDIAN AD LITEM FOR KERSHAW COUNTY, FOR HER MANY YEARS OF OUTSTANDING COMMUNITY SERVICE, AND TO CONGRATULATE HER ON BEING NAMED G. F. BETTINESKI CHILD ADVOCATE OF THE YEAR, AN HONOR AWARDED ANNUALLY BY THE NATIONAL COURT APPOINTED SPECIAL ADVOCATE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General Assembly honor individuals who freely give of their time and resources for the good of others, especially those who need it most;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Frankye C. Hull, of Kershaw County, an exemplary volunteer worker for many years in her community, has contributed untold hours of valuable volunteer service to the citizens of the Camden area and is thereby worthy of praise;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retired public school teacher, mother, grandmother, and great</w:t>
      </w:r>
      <w:r>
        <w:noBreakHyphen/>
        <w:t>grandmother, Mrs. Hull has been a Kershaw County guardian ad litem since 1998.  Always seeking to promote and improve the lives of families, Mrs. Hull has a long history of working toward the best interests of children in a variety of roles;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working as part of community endeavors years ago with her friend Jim, now known as United States House of Representatives Majority Whip Jim Clyburn.  Later, she became a guardian ad litem, volunteered in the local hospital, at the local Sexual Assault Center, and at Christian Community Ministries;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Mrs. Hull suffered two health crises that forced her to give up some of her activities, but she remained a guardian ad litem, believing she had been allowed to live to continue serving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presently, on any given day she might be motoring to attend a meeting at a school or the Department of Social Services or Foster Care Review Board or to visit a child or family.  Once at her destination, her moves are strong yet deliberate;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Hull looks closely at the steps parents take to complete their treatment plans to regain custody of their children.  While she demonstrates compassion and consistently shows a willingness to reach out to parents as is appropriate within her role as a guardian ad litem, she also makes clear to them that she is there for their children.  If a parent’s motives appear less than child centered, she will investigate thoroughly and challenge that parent in the best interest of the 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looking after the children, Mrs. Hull supports her colleagues.  She regularly teaches the chapter on cultural diversity to guardian ad litem trainees, among other activities;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Hull shows respect for all, but her heart is with the children. While her direct approach may sometimes take adults aback, the children run to her, knowing she is on their side;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appreciation of her outstanding work as a guardian ad litem, the National Court Appointed Special Advocate Association has named her G. F. Bettineski Child Advocate of the Year, a national honor awarded to recognize a guardian ad litem who has made a significant voluntary contribution to abused and neglected children and to his or her guardian ad litem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honor is a fitting tribute to an exemplary humanitarian with a high dedication to her calling equaling the eminence of the award, and the South Carolina General Assembly is proud to add its collective voice to the many warm expressions of praise so well deserved by Mrs. Hull.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and commend Mrs. Frankye C. Hull, guardian ad litem for Kershaw County, for her many years of outstanding community service, and congratulate her on being named G. F. Bettineski Child Advocate of the Year, an honor awarded annually by the National Court Appointed Special Advocate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Frankye C. Hull.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0ADAD6-9586-4F78-AA6D-5A9F6CFE4BB3}"/>
    <w:embedBold r:id="rId2" w:fontKey="{6E504BFA-B41C-4C3A-8C9E-86F82671FFD9}"/>
  </w:font>
  <w:font w:name="Calibri">
    <w:panose1 w:val="020F0502020204030204"/>
    <w:charset w:val="00"/>
    <w:family w:val="swiss"/>
    <w:pitch w:val="variable"/>
    <w:sig w:usb0="A00002EF" w:usb1="4000207B" w:usb2="00000000" w:usb3="00000000" w:csb0="0000009F" w:csb1="00000000"/>
    <w:embedRegular r:id="rId3" w:fontKey="{86B1DBB6-091F-4D26-8FF7-ECD730166191}"/>
  </w:font>
  <w:font w:name="Cambria">
    <w:panose1 w:val="02040503050406030204"/>
    <w:charset w:val="00"/>
    <w:family w:val="roman"/>
    <w:pitch w:val="variable"/>
    <w:sig w:usb0="A00002EF" w:usb1="4000004B" w:usb2="00000000" w:usb3="00000000" w:csb0="0000009F" w:csb1="00000000"/>
    <w:embedRegular r:id="rId4" w:fontKey="{56AD66CD-CF4C-4B28-83BC-58C3B76A6E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8AHB09"/>
    <w:docVar w:name="CoverBillType" w:val="c"/>
    <w:docVar w:name="docpath" w:val="L:\Council\bills\RM\1118AHB09.DOCX"/>
    <w:docVar w:name="dvBillNumber" w:val="359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3467</Characters>
  <Application>Microsoft Office Word</Application>
  <DocSecurity>0</DocSecurity>
  <Lines>28</Lines>
  <Paragraphs>8</Paragraphs>
  <ScaleCrop>false</ScaleCrop>
  <Company> </Company>
  <LinksUpToDate>false</LinksUpToDate>
  <CharactersWithSpaces>4067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2009-02-24T16:18:00Z</cp:lastPrinted>
  <dcterms:created xsi:type="dcterms:W3CDTF">2009-02-25T15:17:00Z</dcterms:created>
  <dcterms:modified xsi:type="dcterms:W3CDTF">2009-02-25T15:17:00Z</dcterms:modified>
</cp:coreProperties>
</file>