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53, TITLE 59 SO AS TO PROVIDE FOR THE YORK TECHNICAL COLLEGE ENTERPRISE CAMPUS, AND TO PROVIDE FOR ITS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t>SECTION</w:t>
      </w:r>
      <w:r>
        <w:tab/>
        <w:t>1.</w:t>
      </w:r>
      <w:r>
        <w:tab/>
      </w:r>
      <w:r>
        <w:rPr>
          <w:rFonts w:eastAsia="MS Mincho" w:cs="Courier New"/>
        </w:rPr>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As used in this 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 xml:space="preserve">receive, accept, and expend from any source including any federal, state, or other public agency and any private agency, </w:t>
      </w:r>
      <w:r>
        <w:rPr>
          <w:color w:val="000000"/>
        </w:rPr>
        <w:lastRenderedPageBreak/>
        <w:t>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 xml:space="preserve">The authority must comply with the provisions of Chapter 47, Title 2, but only State Budget and Control Board approval is required for leases and lease purchase </w:t>
      </w:r>
      <w:r>
        <w:lastRenderedPageBreak/>
        <w:t>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w:t>
      </w:r>
      <w:r>
        <w:rPr>
          <w:color w:val="000000"/>
        </w:rPr>
        <w:lastRenderedPageBreak/>
        <w:t>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 xml:space="preserve">The York Technical College Commission must designate with specificity the area or areas that comprise the enterprise campus and the purpose of the enterprise campus.  This information must be submitted to the State Board </w:t>
      </w:r>
      <w:r>
        <w:rPr>
          <w:color w:val="000000"/>
        </w:rPr>
        <w:lastRenderedPageBreak/>
        <w:t>for Technical and Comprehensive Education.  The state board shall have final approval over the areas designated as part of the York Technical College Enterprise Campus Authority and the projects to undertaken.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Nothing in the article may be construed to alter, amend, or otherwise affect any existing technical or community college enterprise campus or authority currently in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754977-DA4A-4DCD-B65B-5834F03FB8C3}"/>
    <w:embedBold r:id="rId2" w:fontKey="{FFD43C8B-DFC2-40DF-BB9B-76EAD34F351D}"/>
  </w:font>
  <w:font w:name="Calibri">
    <w:panose1 w:val="020F0502020204030204"/>
    <w:charset w:val="00"/>
    <w:family w:val="swiss"/>
    <w:pitch w:val="variable"/>
    <w:sig w:usb0="A00002EF" w:usb1="4000207B" w:usb2="00000000" w:usb3="00000000" w:csb0="0000009F" w:csb1="00000000"/>
    <w:embedRegular r:id="rId3" w:fontKey="{4D0B7267-367A-4B45-81E4-9D2430AB171F}"/>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DBEFE340-B972-4B6C-B79D-FE534B48D071}"/>
  </w:font>
  <w:font w:name="Cambria">
    <w:panose1 w:val="02040503050406030204"/>
    <w:charset w:val="00"/>
    <w:family w:val="roman"/>
    <w:pitch w:val="variable"/>
    <w:sig w:usb0="A00002EF" w:usb1="4000004B" w:usb2="00000000" w:usb3="00000000" w:csb0="0000009F" w:csb1="00000000"/>
    <w:embedRegular r:id="rId5" w:fontKey="{742ADBB1-FC33-41C0-8117-2A63799EEB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[3616]</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4BH09"/>
    <w:docVar w:name="CoverBillType" w:val="b"/>
    <w:docVar w:name="docpath" w:val="L:\Council\bills\GJK\20144BH09.DOCX"/>
    <w:docVar w:name="dvBillNumber" w:val="361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3808</Words>
  <Characters>11843</Characters>
  <Application>Microsoft Office Word</Application>
  <DocSecurity>0</DocSecurity>
  <Lines>169</Lines>
  <Paragraphs>27</Paragraphs>
  <ScaleCrop>false</ScaleCrop>
  <Company> </Company>
  <LinksUpToDate>false</LinksUpToDate>
  <CharactersWithSpaces>15624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2009-02-25T14:02:00Z</cp:lastPrinted>
  <dcterms:created xsi:type="dcterms:W3CDTF">2009-02-25T16:00:00Z</dcterms:created>
  <dcterms:modified xsi:type="dcterms:W3CDTF">2009-02-25T16:00:00Z</dcterms:modified>
</cp:coreProperties>
</file>