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SECTION 56</w:t>
      </w:r>
      <w:r>
        <w:rPr>
          <w:szCs w:val="22"/>
        </w:rPr>
        <w:noBreakHyphen/>
        <w:t>5</w:t>
      </w:r>
      <w:r>
        <w:rPr>
          <w:szCs w:val="22"/>
        </w:rPr>
        <w:noBreakHyphen/>
        <w:t xml:space="preserve">195, CODE OF LAWS OF SOUTH CAROLINA, 1976, RELATING TO BUS SAFETY STANDARDS, SO AS TO PROVIDE THAT FORMER CHARTER BUSES ARE EXEMPT FROM THE REQUIRED STANDARDS WHEN OWNED AND OPERATED BY A SCHOOL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56-5-195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Former charter buses that are purchased by school districts or by organizations associated with particular schools and then owned and operated by a school district are exempt from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F753C8-871D-4105-86B2-C28225EFDCA8}"/>
    <w:embedBold r:id="rId2" w:fontKey="{897274FA-D368-42D3-B3D1-09AA20396231}"/>
  </w:font>
  <w:font w:name="Calibri">
    <w:panose1 w:val="020F0502020204030204"/>
    <w:charset w:val="00"/>
    <w:family w:val="swiss"/>
    <w:pitch w:val="variable"/>
    <w:sig w:usb0="A00002EF" w:usb1="4000207B" w:usb2="00000000" w:usb3="00000000" w:csb0="0000009F" w:csb1="00000000"/>
    <w:embedRegular r:id="rId3" w:fontKey="{0AB80728-9CF8-484F-9E5E-2964DCB698CA}"/>
  </w:font>
  <w:font w:name="Cambria">
    <w:panose1 w:val="02040503050406030204"/>
    <w:charset w:val="00"/>
    <w:family w:val="roman"/>
    <w:pitch w:val="variable"/>
    <w:sig w:usb0="A00002EF" w:usb1="4000004B" w:usb2="00000000" w:usb3="00000000" w:csb0="0000009F" w:csb1="00000000"/>
    <w:embedRegular r:id="rId4" w:fontKey="{F0CE171A-6E5E-45BA-A1F3-5CAE3ADC0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5SD09"/>
    <w:docVar w:name="CoverBillType" w:val="b"/>
    <w:docVar w:name="docpath" w:val="L:\Council\bills\GJK\20145SD09.DOCX"/>
    <w:docVar w:name="dvBillNumber" w:val="362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2009-02-24T19:46:00Z</cp:lastPrinted>
  <dcterms:created xsi:type="dcterms:W3CDTF">2009-02-26T22:40:00Z</dcterms:created>
  <dcterms:modified xsi:type="dcterms:W3CDTF">2009-02-26T22:40:00Z</dcterms:modified>
</cp:coreProperties>
</file>