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 xml:space="preserve">25 SO AS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THEIR HOURS OF OPERATION, AND REQUIRE THESE LOCATIONS AND TIMES TO BE IN COMPLIANCE WITH THE PROVISIONS OF SECTION 30</w:t>
      </w:r>
      <w:r>
        <w:rPr>
          <w:rFonts w:eastAsia="MS Mincho"/>
        </w:rPr>
        <w:noBreakHyphen/>
        <w:t>4</w:t>
      </w:r>
      <w:r>
        <w:rPr>
          <w:rFonts w:eastAsia="MS Mincho"/>
        </w:rPr>
        <w:noBreakHyphen/>
        <w:t>80; TO AMEND SECTION 7</w:t>
      </w:r>
      <w:r>
        <w:rPr>
          <w:rFonts w:eastAsia="MS Mincho"/>
        </w:rPr>
        <w:noBreakHyphen/>
        <w:t>15</w:t>
      </w:r>
      <w:r>
        <w:rPr>
          <w:rFonts w:eastAsia="MS Mincho"/>
        </w:rPr>
        <w:noBreakHyphen/>
        <w:t xml:space="preserve">330, AS AMENDED, RELATING TO THE TIME OF APPLICATION FOR AN ABSENTEE BALLOT, SO AS TO DELETE THE AUTHORIZATION THAT AN APPLICATION MAY BE REQUESTED BY A MEMBER OF THE IMMEDIATE FAMILY OF THE ELECTOR OR AN AUTHORIZED REPRESENTATIVE AND DELETE THE PROVISION ALLOWING A PERSON TO VOTE IN PERSON BY ABSENTEE BALLOT; </w:t>
      </w:r>
      <w:r>
        <w:t>TO AMEND SECTION 7</w:t>
      </w:r>
      <w:r>
        <w:noBreakHyphen/>
        <w:t>15</w:t>
      </w:r>
      <w:r>
        <w:noBreakHyphen/>
        <w:t>340, AS AMENDED, RELATING TO THE FORM OF THE APPLICATION FOR AN ABSENTEE BALLOT, TO REMOVE ALL MENTION OF REASON TO VOTE ABSENTEE, EXCEPT FOR CERTAIN FEDERAL PURPOSES; TO AMEND SECTION 7</w:t>
      </w:r>
      <w:r>
        <w:noBreakHyphen/>
        <w:t>15</w:t>
      </w:r>
      <w:r>
        <w:noBreakHyphen/>
        <w:t>370, AS AMENDED, RELATING TO FURNISHING BALLOTS AND ENVELOPES, TO REMOVE ALL MENTION OF QUALIFICATIONS TO RECEIVE AN ABSENTEE BALLOT; AND TO REPEAL SE</w:t>
      </w:r>
      <w:r>
        <w:rPr>
          <w:rFonts w:eastAsiaTheme="minorHAnsi"/>
          <w:color w:val="000000" w:themeColor="text1"/>
          <w:szCs w:val="22"/>
          <w:u w:color="000000" w:themeColor="text1"/>
        </w:rPr>
        <w:t>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470 RELATING TO THE AUTHORIZATION OF A COUNTY BOARD OF REGISTRATION TO USE OTHER METHODS OF VOTING BY ABSENTEE BALLOT INSTEAD OF PAPER BALLOT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purposes of this section, ‘election’ means a statewide primary or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qualified elector, who is registered, may cast his ballot in person at an early voting center established by the authority charged by law with conducting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early voting period shall begin on the Thursday before the statewide primary or general election and end on the Saturday before it.  Early voting centers must be open from 7:00 a.m. to 7:00 p.m. Thursday and Friday and on Saturday from 8:00 a.m. to 5:00 p.m.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All diligence must be given in locating early voting centers to ensure convenient and accessible facilities in which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All early voting elections must comply with the provisions of 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710.”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330 of the 1976 Code, as last amended by Act 193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t xml:space="preserve">To vote by absentee ballot, a qualified elector </w:t>
      </w:r>
      <w:r>
        <w:rPr>
          <w:rFonts w:eastAsiaTheme="minorHAnsi"/>
          <w:strike/>
          <w:color w:val="000000" w:themeColor="text1"/>
          <w:szCs w:val="22"/>
          <w:u w:color="000000" w:themeColor="text1"/>
        </w:rPr>
        <w:t>or a member of his immediate family</w:t>
      </w:r>
      <w:r>
        <w:rPr>
          <w:rFonts w:eastAsiaTheme="minorHAnsi"/>
          <w:color w:val="000000" w:themeColor="text1"/>
          <w:szCs w:val="22"/>
          <w:u w:color="000000" w:themeColor="text1"/>
        </w:rPr>
        <w:t xml:space="preserve"> must request an </w:t>
      </w:r>
      <w:r>
        <w:rPr>
          <w:rFonts w:eastAsiaTheme="minorHAnsi"/>
          <w:color w:val="000000" w:themeColor="text1"/>
          <w:szCs w:val="22"/>
          <w:u w:color="000000" w:themeColor="text1"/>
        </w:rPr>
        <w:lastRenderedPageBreak/>
        <w:t>application to vote by absentee ballot in person, by telephone, or by mail from the county registration board</w:t>
      </w:r>
      <w:r>
        <w:rPr>
          <w:rFonts w:eastAsiaTheme="minorHAnsi"/>
          <w:strike/>
          <w:color w:val="000000" w:themeColor="text1"/>
          <w:szCs w:val="22"/>
          <w:u w:color="000000" w:themeColor="text1"/>
        </w:rPr>
        <w:t>, or at an extension office of the board of registration as established by the county governing body,</w:t>
      </w:r>
      <w:r>
        <w:rPr>
          <w:rFonts w:eastAsiaTheme="minorHAnsi"/>
          <w:color w:val="000000" w:themeColor="text1"/>
          <w:szCs w:val="22"/>
          <w:u w:color="000000" w:themeColor="text1"/>
        </w:rPr>
        <w:t xml:space="preserve"> for the county of the voter’s residence.  </w:t>
      </w:r>
      <w:r>
        <w:rPr>
          <w:rFonts w:eastAsiaTheme="minorHAnsi"/>
          <w:strike/>
          <w:color w:val="000000" w:themeColor="text1"/>
          <w:szCs w:val="22"/>
          <w:u w:color="000000" w:themeColor="text1"/>
        </w:rPr>
        <w:t>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r>
        <w:rPr>
          <w:rFonts w:eastAsiaTheme="minorHAnsi"/>
          <w:color w:val="000000" w:themeColor="text1"/>
          <w:szCs w:val="22"/>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w:t>
      </w:r>
      <w:r>
        <w:rPr>
          <w:rFonts w:eastAsiaTheme="minorHAnsi"/>
          <w:strike/>
          <w:color w:val="000000" w:themeColor="text1"/>
          <w:szCs w:val="22"/>
          <w:u w:color="000000" w:themeColor="text1"/>
        </w:rPr>
        <w:t>in person or</w:t>
      </w:r>
      <w:r>
        <w:rPr>
          <w:rFonts w:eastAsiaTheme="minorHAnsi"/>
          <w:color w:val="000000" w:themeColor="text1"/>
          <w:szCs w:val="22"/>
          <w:u w:color="000000" w:themeColor="text1"/>
        </w:rPr>
        <w:t xml:space="preserve"> by mail before 5:00 p.m. on the fourth day before the day of the election.  Applications must be accepted by the county board of registration until 5:00 p.m. on the day immediately preceding the election for those who </w:t>
      </w:r>
      <w:r>
        <w:rPr>
          <w:rFonts w:eastAsiaTheme="minorHAnsi"/>
          <w:strike/>
          <w:color w:val="000000" w:themeColor="text1"/>
          <w:szCs w:val="22"/>
          <w:u w:color="000000" w:themeColor="text1"/>
        </w:rPr>
        <w:t>appear in person and</w:t>
      </w:r>
      <w:r>
        <w:rPr>
          <w:rFonts w:eastAsiaTheme="minorHAnsi"/>
          <w:color w:val="000000" w:themeColor="text1"/>
          <w:szCs w:val="22"/>
          <w:u w:color="000000" w:themeColor="text1"/>
        </w:rPr>
        <w:t xml:space="preserve"> are qualified to vote </w:t>
      </w:r>
      <w:r>
        <w:rPr>
          <w:rFonts w:eastAsiaTheme="minorHAnsi"/>
          <w:strike/>
          <w:color w:val="000000" w:themeColor="text1"/>
          <w:szCs w:val="22"/>
          <w:u w:color="000000" w:themeColor="text1"/>
        </w:rPr>
        <w:t>absentee pursuant to Section 7</w:t>
      </w:r>
      <w:r>
        <w:rPr>
          <w:rFonts w:eastAsiaTheme="minorHAnsi"/>
          <w:strike/>
          <w:color w:val="000000" w:themeColor="text1"/>
          <w:szCs w:val="22"/>
          <w:u w:color="000000" w:themeColor="text1"/>
        </w:rPr>
        <w:noBreakHyphen/>
        <w:t>15</w:t>
      </w:r>
      <w:r>
        <w:rPr>
          <w:rFonts w:eastAsiaTheme="minorHAnsi"/>
          <w:strike/>
          <w:color w:val="000000" w:themeColor="text1"/>
          <w:szCs w:val="22"/>
          <w:u w:color="000000" w:themeColor="text1"/>
        </w:rPr>
        <w:noBreakHyphen/>
        <w:t>320</w:t>
      </w:r>
      <w:r>
        <w:rPr>
          <w:rFonts w:eastAsiaTheme="minorHAnsi"/>
          <w:color w:val="000000" w:themeColor="text1"/>
          <w:szCs w:val="22"/>
          <w:u w:color="000000" w:themeColor="text1"/>
        </w:rPr>
        <w:t>.  A member of the immediate family of a person who is admitted to a hospital as an emergency patient on the day of an election or within a four</w:t>
      </w:r>
      <w:r>
        <w:rPr>
          <w:rFonts w:eastAsiaTheme="minorHAnsi"/>
          <w:color w:val="000000" w:themeColor="text1"/>
          <w:szCs w:val="22"/>
          <w:u w:color="000000" w:themeColor="text1"/>
        </w:rPr>
        <w:noBreakHyphen/>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w:t>
      </w:r>
      <w:r>
        <w:rPr>
          <w:rFonts w:eastAsiaTheme="minorHAnsi"/>
          <w:color w:val="000000" w:themeColor="text1"/>
          <w:szCs w:val="22"/>
          <w:u w:color="000000" w:themeColor="text1"/>
        </w:rPr>
        <w:lastRenderedPageBreak/>
        <w:t>the day following an election.  A person who violates the provisions of this section is subject to the penalties provided in Section 7</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340 of the 1976 Code, as last amended by Act 236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The application required in 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330 to be submitted to these election officials must be in a form prescribed and distributed by the State Election Commission; except </w:t>
      </w:r>
      <w:r>
        <w:rPr>
          <w:rFonts w:eastAsiaTheme="minorHAnsi"/>
          <w:strike/>
          <w:color w:val="000000" w:themeColor="text1"/>
          <w:szCs w:val="22"/>
          <w:u w:color="000000" w:themeColor="text1"/>
        </w:rPr>
        <w:t>that persons listed in Section 7</w:t>
      </w:r>
      <w:r>
        <w:rPr>
          <w:rFonts w:eastAsiaTheme="minorHAnsi"/>
          <w:strike/>
          <w:color w:val="000000" w:themeColor="text1"/>
          <w:szCs w:val="22"/>
          <w:u w:color="000000" w:themeColor="text1"/>
        </w:rPr>
        <w:noBreakHyphen/>
        <w:t>15</w:t>
      </w:r>
      <w:r>
        <w:rPr>
          <w:rFonts w:eastAsiaTheme="minorHAnsi"/>
          <w:strike/>
          <w:color w:val="000000" w:themeColor="text1"/>
          <w:szCs w:val="22"/>
          <w:u w:color="000000" w:themeColor="text1"/>
        </w:rPr>
        <w:noBreakHyphen/>
        <w:t>320(2), (3), (6), and (10) may use</w:t>
      </w:r>
      <w:r>
        <w:rPr>
          <w:rFonts w:eastAsiaTheme="minorHAnsi"/>
          <w:color w:val="000000" w:themeColor="text1"/>
          <w:szCs w:val="22"/>
          <w:u w:color="000000" w:themeColor="text1"/>
        </w:rPr>
        <w:t xml:space="preserve"> Standard Form 76, or any subsequent form replacing it, </w:t>
      </w:r>
      <w:r>
        <w:rPr>
          <w:rFonts w:eastAsiaTheme="minorHAnsi"/>
          <w:color w:val="000000" w:themeColor="text1"/>
          <w:szCs w:val="22"/>
          <w:u w:val="single" w:color="000000" w:themeColor="text1"/>
        </w:rPr>
        <w:t>may be used if it is</w:t>
      </w:r>
      <w:r>
        <w:rPr>
          <w:rFonts w:eastAsiaTheme="minorHAnsi"/>
          <w:color w:val="000000" w:themeColor="text1"/>
          <w:szCs w:val="22"/>
          <w:u w:color="000000" w:themeColor="text1"/>
        </w:rPr>
        <w:t xml:space="preserve"> provided by the federal government as a simultaneous request for registration and an absentee ballot or a request for an absentee ballot if </w:t>
      </w:r>
      <w:r>
        <w:rPr>
          <w:rFonts w:eastAsiaTheme="minorHAnsi"/>
          <w:color w:val="000000" w:themeColor="text1"/>
          <w:szCs w:val="22"/>
          <w:u w:val="single" w:color="000000" w:themeColor="text1"/>
        </w:rPr>
        <w:t>the qualified elector is</w:t>
      </w:r>
      <w:r>
        <w:rPr>
          <w:rFonts w:eastAsiaTheme="minorHAnsi"/>
          <w:color w:val="000000" w:themeColor="text1"/>
          <w:szCs w:val="22"/>
          <w:u w:color="000000" w:themeColor="text1"/>
        </w:rPr>
        <w:t xml:space="preserve"> already registered</w:t>
      </w:r>
      <w:r>
        <w:rPr>
          <w:rFonts w:eastAsiaTheme="minorHAnsi"/>
          <w:color w:val="000000" w:themeColor="text1"/>
          <w:szCs w:val="22"/>
          <w:u w:val="single" w:color="000000" w:themeColor="text1"/>
        </w:rPr>
        <w:t>, for any of the following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members of the Armed Forces and Merchant Marine of the United States, their spouses, and dependants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persons serving with the American Red Cross or with the United Service Organizations (USO) who are attached to and serving with the Armed Forces of the United States, their spouses, and dependants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governmental employees, their spouses, and dependants residing with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overseas citizens</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application must contain the following information:  name, registration certificate number, address, absentee address, election of ballot request, election date, runoff preference, party preference, </w:t>
      </w:r>
      <w:r>
        <w:rPr>
          <w:rFonts w:eastAsiaTheme="minorHAnsi"/>
          <w:strike/>
          <w:color w:val="000000" w:themeColor="text1"/>
          <w:szCs w:val="22"/>
          <w:u w:color="000000" w:themeColor="text1"/>
        </w:rPr>
        <w:t>reason for request,</w:t>
      </w:r>
      <w:r>
        <w:rPr>
          <w:rFonts w:eastAsiaTheme="minorHAnsi"/>
          <w:color w:val="000000" w:themeColor="text1"/>
          <w:szCs w:val="22"/>
          <w:u w:color="000000" w:themeColor="text1"/>
        </w:rPr>
        <w:t xml:space="preserve"> oath of voter, and voter’s signature.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w:t>
      </w:r>
      <w:r>
        <w:rPr>
          <w:rFonts w:eastAsiaTheme="minorHAnsi"/>
          <w:strike/>
          <w:color w:val="000000" w:themeColor="text1"/>
          <w:szCs w:val="22"/>
          <w:u w:color="000000" w:themeColor="text1"/>
        </w:rPr>
        <w:t>for the reason indicated above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fraudulently applies for an absentee ballot in violation of this section, upon conviction, must be punished in accordance with Section 7</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370 of the 1976 Code, as last amended by Act 434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370.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Upon receipt of the ballots and envelopes, the county registration board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as soon as possible,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furnish the following items to each person </w:t>
      </w:r>
      <w:r>
        <w:rPr>
          <w:rFonts w:eastAsiaTheme="minorHAnsi"/>
          <w:strike/>
          <w:color w:val="000000" w:themeColor="text1"/>
          <w:szCs w:val="22"/>
          <w:u w:color="000000" w:themeColor="text1"/>
        </w:rPr>
        <w:t>qualified to receive an absentee ballot and</w:t>
      </w:r>
      <w:r>
        <w:rPr>
          <w:rFonts w:eastAsiaTheme="minorHAnsi"/>
          <w:color w:val="000000" w:themeColor="text1"/>
          <w:szCs w:val="22"/>
          <w:u w:color="000000" w:themeColor="text1"/>
        </w:rPr>
        <w:t xml:space="preserve"> who has validly completed a written application for an absentee ballot: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one of each ballot to be used in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printed instructions as to the marking, folding, and return of each ballot and as to the signing (and return) of the oath;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an envelope marked ‘Ballot Herein’ in which all completed ballots are to be placed;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return</w:t>
      </w:r>
      <w:r>
        <w:rPr>
          <w:rFonts w:eastAsiaTheme="minorHAnsi"/>
          <w:color w:val="000000" w:themeColor="text1"/>
          <w:szCs w:val="22"/>
          <w:u w:color="000000" w:themeColor="text1"/>
        </w:rPr>
        <w:noBreakHyphen/>
        <w:t>addressed envelope imprinted on the back with the oath set forth in 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385 to be used for the return of the unmarked envelope (and enclosed ballots) to the board of registration;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any additional oath, instructions, or information necessary to enable the absentee ballot applicant to execute and return a ballot legally acceptable by the officials charged with conducting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The board of registration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record in the record book required by 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330 to be kept by the board the date these materials are requested by written application and the date they are issued to the qualified elector.  Election materials which are mailed must be sent to the voter’s absentee mailing address.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If absentee ballots are not available at the time the voter requests one, the board of registration </w:t>
      </w:r>
      <w:r>
        <w:rPr>
          <w:rFonts w:eastAsiaTheme="minorHAnsi"/>
          <w:strike/>
          <w:color w:val="000000" w:themeColor="text1"/>
          <w:szCs w:val="22"/>
          <w:u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provide a blank ballot to allow the voter to write in his: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selections of candidates;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selection of party, if he wishes to vote straight party ticket;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support or opposition of any ballot measure.”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7</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 xml:space="preserve">470 of the 1976 Code is repealed.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3A9CEA-5F3B-41B9-9B39-02BB4D9D3889}"/>
    <w:embedBold r:id="rId2" w:fontKey="{3CE36C8F-B822-4C7D-B74A-D6E96964A7FE}"/>
  </w:font>
  <w:font w:name="Calibri">
    <w:panose1 w:val="020F0502020204030204"/>
    <w:charset w:val="00"/>
    <w:family w:val="swiss"/>
    <w:pitch w:val="variable"/>
    <w:sig w:usb0="A00002EF" w:usb1="4000207B" w:usb2="00000000" w:usb3="00000000" w:csb0="0000009F" w:csb1="00000000"/>
    <w:embedRegular r:id="rId3" w:fontKey="{47A5C8D8-25A7-4AFB-B78F-AB26DDF8D44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FBA4512-EF1A-4E7B-AC2A-89E3008110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03DW09"/>
    <w:docVar w:name="CoverBillType" w:val="b"/>
    <w:docVar w:name="docpath" w:val="L:\Council\bills\DKA\3203DW09.DOCX"/>
    <w:docVar w:name="dvBillNumber" w:val="3633"/>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2009-02-24T17:53:00Z</cp:lastPrinted>
  <dcterms:created xsi:type="dcterms:W3CDTF">2009-02-26T22:42:00Z</dcterms:created>
  <dcterms:modified xsi:type="dcterms:W3CDTF">2009-02-26T22:42:00Z</dcterms:modified>
</cp:coreProperties>
</file>