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8-15-65, CODE OF LAWS OF SOUTH CAROLINA, 1976, RELATING TO ANNUAL STATE SALARY SUPPLEMENTS FOR COUNTY GOVERNMENT OFFICIALS, SO AS TO PROVIDE THOSE CIRCUMSTANCES WHEN THE OFFICE BUDGETS FOR THESE OFFICIALS MAY BE REDUCED BY THE GOVERNING BODY OF THE COUNTY WITHOUT RESULTING IN A REDUCTION IN FUNDS DISTRIBUTED TO THE COUNTY PURSUANT TO THE STATE AID TO SUBDIVISIONS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8-15-65(B) of the 1976 Code, as added by Act 458 of 1996,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amounts appropriated for salary supplements pursuant to subsection (A) must include both salary and related employer contributions and are in addition to amounts provided as compensation for these officials by counties.  To the extent that compensation for these officers is reduced by a county or there is any other reduction of expenditures in the operations of their offices, a corresponding reduction must be made in the distribution otherwise due the county pursuant to Chapter 27 of Title 6, the State Aid to Subdivisions Act.  </w:t>
      </w:r>
      <w:r>
        <w:rPr>
          <w:u w:val="single"/>
        </w:rPr>
        <w:t>However, the governing body of a county may reduce the expenditures in the operation of the offices of these officials without a corresponding reduction in the county’s state aid to subdivisions distribution if the reduction is being applied uniformly to all offices, agencies, and departments of county government.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keepNext/>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0EB832-9A23-42AF-851A-063A255CAF23}"/>
    <w:embedBold r:id="rId2" w:fontKey="{598626BD-B50F-4EC6-A903-5FC768FDF5FD}"/>
  </w:font>
  <w:font w:name="Calibri">
    <w:panose1 w:val="020F0502020204030204"/>
    <w:charset w:val="00"/>
    <w:family w:val="swiss"/>
    <w:pitch w:val="variable"/>
    <w:sig w:usb0="A00002EF" w:usb1="4000207B" w:usb2="00000000" w:usb3="00000000" w:csb0="0000009F" w:csb1="00000000"/>
    <w:embedRegular r:id="rId3" w:fontKey="{AA3653C3-2F58-4986-8FDE-A61D6F91E8D3}"/>
  </w:font>
  <w:font w:name="Cambria">
    <w:panose1 w:val="02040503050406030204"/>
    <w:charset w:val="00"/>
    <w:family w:val="roman"/>
    <w:pitch w:val="variable"/>
    <w:sig w:usb0="A00002EF" w:usb1="4000004B" w:usb2="00000000" w:usb3="00000000" w:csb0="0000009F" w:csb1="00000000"/>
    <w:embedRegular r:id="rId4" w:fontKey="{535B3865-06ED-46BE-906A-A4834D0CC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01HTC09"/>
    <w:docVar w:name="CoverBillType" w:val="b"/>
    <w:docVar w:name="docpath" w:val="L:\Council\bills\BBM\9201HTC09.DOCX"/>
    <w:docVar w:name="dvBillNumber" w:val="365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2009-02-26T20:36:00Z</cp:lastPrinted>
  <dcterms:created xsi:type="dcterms:W3CDTF">2009-03-03T20:33:00Z</dcterms:created>
  <dcterms:modified xsi:type="dcterms:W3CDTF">2009-03-03T20:33:00Z</dcterms:modified>
</cp:coreProperties>
</file>