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25A" w:rsidRDefault="0043663F">
      <w:pPr>
        <w:pStyle w:val="BillDots"/>
      </w:pPr>
      <w:r>
        <w:t>AS PASSED BY THE SENATE</w:t>
      </w:r>
    </w:p>
    <w:p w:rsidR="0026725A" w:rsidRDefault="0043663F">
      <w:pPr>
        <w:pStyle w:val="BillDots"/>
      </w:pPr>
      <w:r>
        <w:t>March 11</w:t>
      </w:r>
      <w:r w:rsidR="004C467D">
        <w:t>, 2010</w:t>
      </w:r>
    </w:p>
    <w:p w:rsidR="0026725A" w:rsidRDefault="0026725A">
      <w:pPr>
        <w:pStyle w:val="BillDots"/>
      </w:pPr>
    </w:p>
    <w:p w:rsidR="0026725A" w:rsidRPr="0026725A" w:rsidRDefault="0026725A" w:rsidP="0026725A">
      <w:pPr>
        <w:pStyle w:val="BillDots"/>
        <w:tabs>
          <w:tab w:val="clear" w:pos="216"/>
          <w:tab w:val="clear" w:pos="432"/>
          <w:tab w:val="clear" w:pos="648"/>
          <w:tab w:val="clear" w:pos="864"/>
          <w:tab w:val="clear" w:pos="1080"/>
          <w:tab w:val="clear" w:pos="1296"/>
          <w:tab w:val="clear" w:pos="5904"/>
          <w:tab w:val="right" w:pos="5933"/>
        </w:tabs>
      </w:pPr>
      <w:r>
        <w:tab/>
      </w:r>
      <w:r>
        <w:rPr>
          <w:b/>
          <w:sz w:val="36"/>
        </w:rPr>
        <w:t>H. 3707</w:t>
      </w:r>
    </w:p>
    <w:p w:rsidR="0026725A" w:rsidRDefault="0026725A">
      <w:pPr>
        <w:pStyle w:val="BillDots"/>
      </w:pPr>
    </w:p>
    <w:p w:rsidR="0026725A" w:rsidRDefault="0026725A">
      <w:pPr>
        <w:pStyle w:val="BillDots"/>
      </w:pPr>
      <w:r>
        <w:t>Introduced by Reps. T.R. Young, Cato, Cobb</w:t>
      </w:r>
      <w:r>
        <w:noBreakHyphen/>
        <w:t>Hunter, Toole, Ott, Cooper, Gambrell, Bowen, Agnew, McLeod, J.H. Neal, Gunn, Hayes, Stewart, Thompson, White, Duncan, Moss, H.B. Brown, Knight, Frye, Spires, Neilson, Vick, Hutto, Sellers and Rice</w:t>
      </w:r>
    </w:p>
    <w:p w:rsidR="0026725A" w:rsidRDefault="0026725A">
      <w:pPr>
        <w:pStyle w:val="BillDots"/>
      </w:pPr>
    </w:p>
    <w:p w:rsidR="0026725A" w:rsidRDefault="0043663F" w:rsidP="00B21A3A">
      <w:pPr>
        <w:pStyle w:val="BillDots"/>
        <w:tabs>
          <w:tab w:val="clear" w:pos="216"/>
          <w:tab w:val="clear" w:pos="432"/>
          <w:tab w:val="clear" w:pos="648"/>
          <w:tab w:val="clear" w:pos="864"/>
          <w:tab w:val="clear" w:pos="1080"/>
          <w:tab w:val="clear" w:pos="1296"/>
          <w:tab w:val="clear" w:pos="5904"/>
          <w:tab w:val="right" w:pos="5933"/>
        </w:tabs>
      </w:pPr>
      <w:r>
        <w:t>S. Printed 3/11</w:t>
      </w:r>
      <w:r w:rsidR="004C467D">
        <w:t>/10</w:t>
      </w:r>
      <w:r w:rsidR="0026725A">
        <w:t>--S.</w:t>
      </w:r>
      <w:r w:rsidR="00B21A3A">
        <w:tab/>
      </w:r>
    </w:p>
    <w:p w:rsidR="0026725A" w:rsidRDefault="0026725A">
      <w:pPr>
        <w:pStyle w:val="BillDots"/>
      </w:pPr>
      <w:r>
        <w:t>Read the first time May 5, 2009.</w:t>
      </w:r>
    </w:p>
    <w:p w:rsidR="005B79EC" w:rsidRDefault="0026725A" w:rsidP="00B21A3A">
      <w:pPr>
        <w:pStyle w:val="BillDots"/>
        <w:jc w:val="center"/>
      </w:pPr>
      <w:r>
        <w:rPr>
          <w:u w:val="single"/>
        </w:rPr>
        <w:t>            </w:t>
      </w:r>
    </w:p>
    <w:p w:rsidR="005B79EC" w:rsidRPr="005B79EC" w:rsidRDefault="005B79EC">
      <w:pPr>
        <w:pStyle w:val="BillDots"/>
        <w:sectPr w:rsidR="005B79EC" w:rsidRPr="005B79EC" w:rsidSect="00351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05F6" w:rsidRDefault="000505F6">
      <w:pPr>
        <w:pStyle w:val="BillDots"/>
      </w:pPr>
    </w:p>
    <w:p w:rsidR="000505F6" w:rsidRDefault="000505F6">
      <w:pPr>
        <w:pStyle w:val="Numbersforbill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4C467D" w:rsidRDefault="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The General Assembly finds that the use of blended fuels reduces the dependence on imported oil and</w:t>
      </w:r>
      <w:r w:rsidR="00B21A3A">
        <w:t>,</w:t>
      </w:r>
      <w:r>
        <w:t xml:space="preserve"> therefore</w:t>
      </w:r>
      <w:r w:rsidR="00B21A3A">
        <w:t>,</w:t>
      </w:r>
      <w:r>
        <w:t xml:space="preserv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SECTION</w:t>
      </w:r>
      <w:r>
        <w:tab/>
        <w:t>2.</w:t>
      </w:r>
      <w:r>
        <w:tab/>
        <w:t>Article 1, Chapter 41, Title 39 of the 1976 Code is amended by adding:</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all grades of petroleum products that are not already preblended with ethanol and that is suitable for subsequent blending of the product with ethanol.</w:t>
      </w: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all grades of diesel fuel that are not already preblended to produce biodiesel or a biodiesel blend and that are suitable for subsequent blending to produce biodiesel or biodiesel blends.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tab/>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D</w:t>
      </w:r>
      <w:r w:rsidRPr="002074D0">
        <w:rPr>
          <w:snapToGrid w:val="0"/>
        </w:rPr>
        <w:t>)</w:t>
      </w:r>
      <w:r w:rsidRPr="002074D0">
        <w:rPr>
          <w:snapToGrid w:val="0"/>
        </w:rPr>
        <w:tab/>
        <w:t>No person or entity shall take an action to deny a distributor, as defined in Section 12</w:t>
      </w:r>
      <w:r>
        <w:rPr>
          <w:snapToGrid w:val="0"/>
        </w:rPr>
        <w:noBreakHyphen/>
      </w:r>
      <w:r w:rsidRPr="002074D0">
        <w:rPr>
          <w:snapToGrid w:val="0"/>
        </w:rPr>
        <w:t>28</w:t>
      </w:r>
      <w:r>
        <w:rPr>
          <w:snapToGrid w:val="0"/>
        </w:rPr>
        <w:noBreakHyphen/>
      </w:r>
      <w:r w:rsidRPr="002074D0">
        <w:rPr>
          <w:snapToGrid w:val="0"/>
        </w:rPr>
        <w:t>110(17), or retailer, as defined in Section 12</w:t>
      </w:r>
      <w:r>
        <w:rPr>
          <w:snapToGrid w:val="0"/>
        </w:rPr>
        <w:noBreakHyphen/>
      </w:r>
      <w:r w:rsidRPr="002074D0">
        <w:rPr>
          <w:snapToGrid w:val="0"/>
        </w:rPr>
        <w:t>28</w:t>
      </w:r>
      <w:r>
        <w:rPr>
          <w:snapToGrid w:val="0"/>
        </w:rPr>
        <w:noBreakHyphen/>
      </w:r>
      <w:r w:rsidRPr="002074D0">
        <w:rPr>
          <w:snapToGrid w:val="0"/>
        </w:rPr>
        <w:t xml:space="preserve">110(52) who is doing business in this State and who has registered with the Internal Revenue Service on Form 637 (M) from being the blender of record afforded them by the acceptance by the Internal Revenue Service of Form 637 (M). </w:t>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E</w:t>
      </w:r>
      <w:r w:rsidRPr="002074D0">
        <w:rPr>
          <w:snapToGrid w:val="0"/>
        </w:rPr>
        <w:t>)</w:t>
      </w:r>
      <w:r w:rsidRPr="002074D0">
        <w:rPr>
          <w:snapToGrid w:val="0"/>
        </w:rPr>
        <w:tab/>
        <w:t xml:space="preserve">A distributor or retailer and a refiner must utilize the Renewable Identification Number (RIN) system.  Nothing in this section may be construed to imply a market value for the RINs.  </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43663F" w:rsidRDefault="004C467D" w:rsidP="0043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Arial"/>
          <w:color w:val="000000"/>
          <w:szCs w:val="28"/>
        </w:rPr>
      </w:pPr>
      <w:r>
        <w:rPr>
          <w:snapToGrid w:val="0"/>
        </w:rPr>
        <w:tab/>
        <w:t>(G)</w:t>
      </w:r>
      <w:r>
        <w:rPr>
          <w:szCs w:val="28"/>
        </w:rPr>
        <w:tab/>
      </w:r>
      <w:r>
        <w:rPr>
          <w:rFonts w:cs="Arial"/>
          <w:color w:val="000000"/>
          <w:szCs w:val="28"/>
        </w:rPr>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w:t>
      </w:r>
      <w:r w:rsidR="0043663F">
        <w:rPr>
          <w:rFonts w:cs="Arial"/>
          <w:color w:val="000000"/>
          <w:szCs w:val="28"/>
        </w:rPr>
        <w:t xml:space="preserve">gasoline blending stock, or diesel pursuant to this section.  An entity that does not blend the product at issue has no duty with respect to blending and shall not be liable for fines, penalties, </w:t>
      </w:r>
      <w:r w:rsidR="0043663F">
        <w:rPr>
          <w:rFonts w:cs="Arial"/>
          <w:color w:val="000000"/>
          <w:szCs w:val="28"/>
        </w:rPr>
        <w:lastRenderedPageBreak/>
        <w:t>injuries, or damages arising out of blending that does not meet those standards.</w:t>
      </w:r>
    </w:p>
    <w:p w:rsidR="004C467D" w:rsidRDefault="0043663F" w:rsidP="00436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7"/>
          <w:u w:color="000000" w:themeColor="text1"/>
        </w:rPr>
      </w:pPr>
      <w:r>
        <w:rPr>
          <w:rFonts w:cs="Arial"/>
          <w:color w:val="000000"/>
          <w:szCs w:val="28"/>
        </w:rPr>
        <w:tab/>
        <w:t>(H)</w:t>
      </w:r>
      <w:r>
        <w:rPr>
          <w:rFonts w:cs="Arial"/>
          <w:color w:val="000000"/>
          <w:szCs w:val="28"/>
        </w:rPr>
        <w:tab/>
        <w:t>An entity that purchases an unblended product and subsequently blends that product with ethanol or biodiesel shall provide notice to the purchasing entity’s consumers, at the pump or another prominent location near the pump, identifying the entity that performed the blending.”</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Pr>
          <w:rFonts w:cs="Arial"/>
          <w:color w:val="000000"/>
          <w:szCs w:val="28"/>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SECTION</w:t>
      </w:r>
      <w:r>
        <w:rPr>
          <w:snapToGrid w:val="0"/>
        </w:rPr>
        <w:tab/>
        <w:t>4.</w:t>
      </w:r>
      <w:r>
        <w:rPr>
          <w:snapToGrid w:val="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xml:space="preserve">, this </w:t>
      </w:r>
      <w:r w:rsidR="00B21A3A">
        <w:rPr>
          <w:color w:val="000000" w:themeColor="text1"/>
          <w:u w:color="000000" w:themeColor="text1"/>
        </w:rPr>
        <w:t>a</w:t>
      </w:r>
      <w:r w:rsidRPr="00A54814">
        <w:rPr>
          <w:color w:val="000000" w:themeColor="text1"/>
          <w:u w:color="000000" w:themeColor="text1"/>
        </w:rPr>
        <w:t>ct takes effect upon approval of the Governor.</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5F6" w:rsidRDefault="000505F6" w:rsidP="004C0500">
      <w:pPr>
        <w:suppressAutoHyphens/>
      </w:pPr>
    </w:p>
    <w:sectPr w:rsidR="000505F6" w:rsidSect="00351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5F6" w:rsidRDefault="00351FAE">
      <w:r>
        <w:separator/>
      </w:r>
    </w:p>
  </w:endnote>
  <w:endnote w:type="continuationSeparator" w:id="0">
    <w:p w:rsidR="000505F6" w:rsidRDefault="0035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4FBD64-BEDE-4E73-8032-3B8BAE800F13}"/>
    <w:embedBold r:id="rId2" w:fontKey="{4A1BEDF7-1726-481C-94C3-37CFF6C6D879}"/>
  </w:font>
  <w:font w:name="Calibri">
    <w:panose1 w:val="020F0502020204030204"/>
    <w:charset w:val="00"/>
    <w:family w:val="swiss"/>
    <w:pitch w:val="variable"/>
    <w:sig w:usb0="A00002EF" w:usb1="4000207B" w:usb2="00000000" w:usb3="00000000" w:csb0="0000009F" w:csb1="00000000"/>
    <w:embedRegular r:id="rId3" w:fontKey="{9B41BC2E-9121-483A-903B-C069399FDB8A}"/>
  </w:font>
  <w:font w:name="Arial">
    <w:panose1 w:val="020B0604020202020204"/>
    <w:charset w:val="00"/>
    <w:family w:val="swiss"/>
    <w:pitch w:val="variable"/>
    <w:sig w:usb0="20002A87" w:usb1="80000000" w:usb2="00000008" w:usb3="00000000" w:csb0="000001FF" w:csb1="00000000"/>
    <w:embedRegular r:id="rId4" w:fontKey="{1C1EB738-80F6-47F4-9F5B-4167F65899DE}"/>
  </w:font>
  <w:font w:name="Cambria">
    <w:panose1 w:val="02040503050406030204"/>
    <w:charset w:val="00"/>
    <w:family w:val="roman"/>
    <w:pitch w:val="variable"/>
    <w:sig w:usb0="A00002EF" w:usb1="4000004B" w:usb2="00000000" w:usb3="00000000" w:csb0="0000009F" w:csb1="00000000"/>
    <w:embedRegular r:id="rId5" w:fontKey="{93BA3F21-1493-4EC0-A5E8-4AC6449A2B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F6" w:rsidRDefault="00351FAE">
    <w:pPr>
      <w:pStyle w:val="Footer"/>
      <w:tabs>
        <w:tab w:val="clear" w:pos="4680"/>
        <w:tab w:val="clear" w:pos="9360"/>
        <w:tab w:val="center" w:pos="2995"/>
      </w:tabs>
      <w:spacing w:before="120"/>
    </w:pPr>
    <w:r>
      <w:t>[3707-</w:t>
    </w:r>
    <w:fldSimple w:instr=" PAGE  \* MERGEFORMAT ">
      <w:r w:rsidR="004C050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AE" w:rsidRDefault="00351FAE">
    <w:pPr>
      <w:pStyle w:val="Footer"/>
      <w:tabs>
        <w:tab w:val="clear" w:pos="4680"/>
        <w:tab w:val="clear" w:pos="9360"/>
        <w:tab w:val="center" w:pos="2995"/>
      </w:tabs>
      <w:spacing w:before="120"/>
    </w:pPr>
    <w:r>
      <w:t>[3707]</w:t>
    </w:r>
    <w:r>
      <w:tab/>
    </w:r>
    <w:fldSimple w:instr=" PAGE  \* MERGEFORMAT ">
      <w:r w:rsidR="004C05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5F6" w:rsidRDefault="00351FAE">
      <w:r>
        <w:separator/>
      </w:r>
    </w:p>
  </w:footnote>
  <w:footnote w:type="continuationSeparator" w:id="0">
    <w:p w:rsidR="000505F6" w:rsidRDefault="00351F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w:rsids>
    <w:rsidRoot w:val="000505F6"/>
    <w:rsid w:val="000505F6"/>
    <w:rsid w:val="00231039"/>
    <w:rsid w:val="0026725A"/>
    <w:rsid w:val="00351FAE"/>
    <w:rsid w:val="0043663F"/>
    <w:rsid w:val="004C0500"/>
    <w:rsid w:val="004C467D"/>
    <w:rsid w:val="00544CDC"/>
    <w:rsid w:val="005B79EC"/>
    <w:rsid w:val="005F2D17"/>
    <w:rsid w:val="005F3DDD"/>
    <w:rsid w:val="007A5976"/>
    <w:rsid w:val="00A04203"/>
    <w:rsid w:val="00B21A3A"/>
    <w:rsid w:val="00C653B5"/>
    <w:rsid w:val="00D22C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5F6"/>
    <w:rPr>
      <w:rFonts w:eastAsia="Times New Roman" w:cs="Times New Roman"/>
      <w:b/>
      <w:sz w:val="30"/>
      <w:szCs w:val="20"/>
    </w:rPr>
  </w:style>
  <w:style w:type="paragraph" w:styleId="Header">
    <w:name w:val="header"/>
    <w:basedOn w:val="Normal"/>
    <w:link w:val="HeaderChar"/>
    <w:uiPriority w:val="99"/>
    <w:semiHidden/>
    <w:unhideWhenUsed/>
    <w:rsid w:val="000505F6"/>
    <w:pPr>
      <w:tabs>
        <w:tab w:val="center" w:pos="4320"/>
        <w:tab w:val="right" w:pos="8640"/>
      </w:tabs>
    </w:pPr>
  </w:style>
  <w:style w:type="character" w:customStyle="1" w:styleId="HeaderChar">
    <w:name w:val="Header Char"/>
    <w:basedOn w:val="DefaultParagraphFont"/>
    <w:link w:val="Header"/>
    <w:uiPriority w:val="99"/>
    <w:semiHidden/>
    <w:rsid w:val="000505F6"/>
    <w:rPr>
      <w:rFonts w:eastAsia="Times New Roman" w:cs="Times New Roman"/>
      <w:szCs w:val="20"/>
    </w:rPr>
  </w:style>
  <w:style w:type="paragraph" w:styleId="Footer">
    <w:name w:val="footer"/>
    <w:basedOn w:val="Normal"/>
    <w:link w:val="FooterChar"/>
    <w:uiPriority w:val="99"/>
    <w:unhideWhenUsed/>
    <w:rsid w:val="000505F6"/>
    <w:pPr>
      <w:tabs>
        <w:tab w:val="center" w:pos="4680"/>
        <w:tab w:val="right" w:pos="9360"/>
      </w:tabs>
    </w:pPr>
  </w:style>
  <w:style w:type="character" w:customStyle="1" w:styleId="FooterChar">
    <w:name w:val="Footer Char"/>
    <w:basedOn w:val="DefaultParagraphFont"/>
    <w:link w:val="Footer"/>
    <w:uiPriority w:val="99"/>
    <w:rsid w:val="000505F6"/>
    <w:rPr>
      <w:rFonts w:eastAsia="Times New Roman" w:cs="Times New Roman"/>
      <w:szCs w:val="20"/>
    </w:rPr>
  </w:style>
  <w:style w:type="character" w:styleId="PageNumber">
    <w:name w:val="page number"/>
    <w:basedOn w:val="DefaultParagraphFont"/>
    <w:uiPriority w:val="99"/>
    <w:semiHidden/>
    <w:unhideWhenUsed/>
    <w:rsid w:val="000505F6"/>
  </w:style>
  <w:style w:type="character" w:styleId="LineNumber">
    <w:name w:val="line number"/>
    <w:basedOn w:val="DefaultParagraphFont"/>
    <w:uiPriority w:val="99"/>
    <w:semiHidden/>
    <w:unhideWhenUsed/>
    <w:rsid w:val="000505F6"/>
  </w:style>
  <w:style w:type="paragraph" w:customStyle="1" w:styleId="BillDots">
    <w:name w:val="Bill Dots"/>
    <w:basedOn w:val="Normal"/>
    <w:qFormat/>
    <w:rsid w:val="00050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05F6"/>
    <w:pPr>
      <w:tabs>
        <w:tab w:val="right" w:pos="5904"/>
      </w:tabs>
    </w:pPr>
  </w:style>
  <w:style w:type="character" w:styleId="FollowedHyperlink">
    <w:name w:val="FollowedHyperlink"/>
    <w:basedOn w:val="DefaultParagraphFont"/>
    <w:uiPriority w:val="99"/>
    <w:semiHidden/>
    <w:unhideWhenUsed/>
    <w:rsid w:val="00C653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B23A0-9347-4043-AFA7-478D8E7D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BrentWalling</cp:lastModifiedBy>
  <cp:revision>2</cp:revision>
  <cp:lastPrinted>2009-05-07T18:49:00Z</cp:lastPrinted>
  <dcterms:created xsi:type="dcterms:W3CDTF">2010-03-11T19:26:00Z</dcterms:created>
  <dcterms:modified xsi:type="dcterms:W3CDTF">2010-03-11T19:26:00Z</dcterms:modified>
</cp:coreProperties>
</file>