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noBreakHyphen/>
        <w:t>71</w:t>
      </w:r>
      <w:r>
        <w:noBreakHyphen/>
        <w:t>285 SO AS TO PROHIBIT INDIVIDUAL AND GROUP HEALTH INSURANCE POLICIES AND HEALTH MAINTENANCE ORGANIZATIONS FROM CANCELING OR NONRENEWING AN INSURED WHO HAS BEEN COVERED FOR CANCER TREATMENT AND HAS ENTERED AN APPROVED CANCER CLINICAL TRIAL AND TO REQUIRE INDIVIDUAL AND GROUP HEALTH INSURANCE POLICIES AND HEALTH MAINTENANCE ORGANIZATIONS TO PROVIDE COVERAGE FOR ROUTINE PATIENT CARE COSTS WHEN RECEIVING TREATMENT IN AN APPROVED CANCER CLINICAL TRIAL IF SUCH COSTS WOULD BE COVERED IF INCURRED OTHER THAN IN CONNECTION WITH AN APPROVED CANCER CLINICAL TRIAL.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71,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285.</w:t>
      </w:r>
      <w:r>
        <w:tab/>
        <w:t>(A)</w:t>
      </w:r>
      <w:r>
        <w:tab/>
        <w:t>For purposes of this section, unless the context otherwise requires: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‘Approved cancer clinical trial’ or ‘trial’ means a scientific study of a new therapy for the treatment of cancer in human beings that meets the requirements set forth in subsection (C) and consists of a scientific plan of treatment that includes specified goals, a rationale and background for the plan, criteria for patient selection, specific directions for administering therapy and monitoring patients, a definition of quantitative measures for </w:t>
      </w:r>
      <w:r>
        <w:lastRenderedPageBreak/>
        <w:t>determining treatment response, and methods for documenting and treating adverse reactions.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‘Routine patient care costs’ mean physician fees, laboratory expenses, and expenses associated with the hospitalization, administration of treatment, and evaluation of a patient during the course of treatment which are consistent with usual and customary patterns and standards of care incurred whenever an enrollee, subscriber, or insured receives medical care associated with an approved cancer clinical trial, and which would be covered if these items and services were provided other than in connection with an approved cancer clinical trial.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‘Therapeutic intent’ means that a treatment is aimed at improving a patient’s health outcome relative to either survival or quality of life.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All individual and group health insurance and health maintenance organizations providing coverage for routine patient care costs incurred for cancer treatment are prohibited from canceling or nonrenewing an insured receiving cancer treatment, because the insured has been referred to participate in an approved cancer clinical trial if the insured was referred for the trial by two physicians who specialize in oncology and the cancer treatment is given pursuant to an approved cancer clinical trial that meets the criteria set forth in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All individual and group health insurance and health maintenance organizations providing coverage for routine patient care costs incurred for cancer treatment shall provide coverage for insureds in an approved cancer clinical trial to the same extent that coverage is provided for treating any other sickness, injury, disease, or condition if the insured has been referred for such cancer treatment by two physicians who specialize in oncology and the cancer treatment is given pursuant to an approved cancer clinical trial that meets the criteria set forth in subsection (C).  Services that are furnished without charge to a participant in the approved cancer clinical trial are not required to be covered as routine patient care costs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Routine patient care costs for cancer treatment given pursuant to an approved cancer clinical trial must be covered pursuant to this section if all of the following requirements are met: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treatment is provided with therapeutic intent and is provided pursuant to an approved cancer clinical trial that has been authorized or approved by one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National Institutes of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(b)</w:t>
      </w:r>
      <w:r>
        <w:tab/>
        <w:t>the United States Food and Drug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United States Department of Defense;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the United States Department of Veterans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proposed treatment has been reviewed and approved by the applicable qualified institutional review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available clinical or preclinical data indicate that the treatment that will be provided pursuant to the approved cancer clinical trial will be at least as effective as the standard therapy and is anticipated to constitute an improvement in therapeutic effectiveness for the treatment of the disease in question.”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2010 and applies to individual and group health insurance and health maintenance organizations issuing policies and contracts in this State that are delivered, issued for delivery, continued, or renewed in this State after June 30,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B8D836-AB50-4758-9E2F-BB4762A09F74}"/>
    <w:embedBold r:id="rId2" w:fontKey="{8F2AF3BE-6136-422D-8FED-3B0992A157C4}"/>
  </w:font>
  <w:font w:name="Calibri">
    <w:panose1 w:val="020F0502020204030204"/>
    <w:charset w:val="00"/>
    <w:family w:val="swiss"/>
    <w:pitch w:val="variable"/>
    <w:sig w:usb0="A00002EF" w:usb1="4000207B" w:usb2="00000000" w:usb3="00000000" w:csb0="0000009F" w:csb1="00000000"/>
    <w:embedRegular r:id="rId3" w:fontKey="{7820B159-0B98-4C3D-8F01-BB93FFE27B03}"/>
  </w:font>
  <w:font w:name="Tahoma">
    <w:panose1 w:val="020B0604030504040204"/>
    <w:charset w:val="00"/>
    <w:family w:val="swiss"/>
    <w:pitch w:val="variable"/>
    <w:sig w:usb0="61002A87" w:usb1="80000000" w:usb2="00000008" w:usb3="00000000" w:csb0="000101FF" w:csb1="00000000"/>
    <w:embedRegular r:id="rId4" w:fontKey="{F461BE2F-C439-4A18-8023-77BDACE49487}"/>
  </w:font>
  <w:font w:name="Cambria">
    <w:panose1 w:val="02040503050406030204"/>
    <w:charset w:val="00"/>
    <w:family w:val="roman"/>
    <w:pitch w:val="variable"/>
    <w:sig w:usb0="A00002EF" w:usb1="4000004B" w:usb2="00000000" w:usb3="00000000" w:csb0="0000009F" w:csb1="00000000"/>
    <w:embedRegular r:id="rId5" w:fontKey="{AE15F426-188B-4FE2-B8DE-39CAE036B9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[3763]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63AC09"/>
    <w:docVar w:name="CoverBillType" w:val="b"/>
    <w:docVar w:name="docpath" w:val="L:\Council\bills\NBD\11363AC09.DOCX"/>
    <w:docVar w:name="dvBillNumber" w:val="3763"/>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760</Words>
  <Characters>4023</Characters>
  <Application>Microsoft Office Word</Application>
  <DocSecurity>0</DocSecurity>
  <Lines>574</Lines>
  <Paragraphs>597</Paragraphs>
  <ScaleCrop>false</ScaleCrop>
  <Company> </Company>
  <LinksUpToDate>false</LinksUpToDate>
  <CharactersWithSpaces>4186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2009-03-23T15:00:00Z</cp:lastPrinted>
  <dcterms:created xsi:type="dcterms:W3CDTF">2009-03-25T14:47:00Z</dcterms:created>
  <dcterms:modified xsi:type="dcterms:W3CDTF">2009-03-25T14:47:00Z</dcterms:modified>
</cp:coreProperties>
</file>