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55 SO AS TO PROVIDE THE STATE BUDGET AND CONTROL BOARD SHALL DEVELOP A WEB</w:t>
      </w:r>
      <w:r>
        <w:rPr>
          <w:rFonts w:eastAsiaTheme="minorHAnsi"/>
          <w:color w:val="000000" w:themeColor="text1"/>
          <w:szCs w:val="22"/>
          <w:u w:color="000000" w:themeColor="text1"/>
        </w:rPr>
        <w:noBreakHyphen/>
        <w:t>BASED APPLICATION FOR THE SUBMISSION OF QUESTIONS AND CONCERNS ABOUT STATE AGENCY LICENSING, PERMITTING, AND REGULATION OF ECONOMIC ACTIVITY, AND TO PROVIDE A STATE AGENCY THAT PROMULGATES REGULATIONS, ISSUES PERMITS OR LICENSES, AND HAS A WEBSITE ON THE INTERNET SHALL PLACE ON ITS WEBSITE HOMEPAGE A HYPERLINK OR UNIFORM RESOURCE LOCATOR THAT PROVIDES DIRECT ACCESS TO THIS WEB</w:t>
      </w:r>
      <w:r>
        <w:rPr>
          <w:rFonts w:eastAsiaTheme="minorHAnsi"/>
          <w:color w:val="000000" w:themeColor="text1"/>
          <w:szCs w:val="22"/>
          <w:u w:color="000000" w:themeColor="text1"/>
        </w:rPr>
        <w:noBreakHyphen/>
        <w:t>BASED APPLICATION; BY ADDING SECTION 48</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155 SO AS TO PROVIDE A CERTIFICATION OF CONSISTENCY WITH THE COASTAL ZONE MANAGEMENT PLAN MUST BE MADE BY THE DEPARTMENT OF HEALTH AND ENVIRONMENTAL CONTROL WITHIN THIRTY DAYS AFTER THE DATE THE REQUEST IS SUBMITTED TO THE DEPARTMENT FOR THIS CERTIFICATION, AND IF THE DEPARTMENT FAILS TO ISSUE A WRITTEN DECISION WITHIN THIS THIRTY</w:t>
      </w:r>
      <w:r>
        <w:rPr>
          <w:rFonts w:eastAsiaTheme="minorHAnsi"/>
          <w:color w:val="000000" w:themeColor="text1"/>
          <w:szCs w:val="22"/>
          <w:u w:color="000000" w:themeColor="text1"/>
        </w:rPr>
        <w:noBreakHyphen/>
        <w:t>DAY PERIOD, THE PROPOSED ACTIVITY OR LICENSE IS CONSIDERED CONSISTENT WITH THE COASTAL ZONE MANAGEMENT PLAN AND PROGRAM; AND TO AMEND SECTION 33</w:t>
      </w:r>
      <w:r>
        <w:rPr>
          <w:rFonts w:eastAsiaTheme="minorHAnsi"/>
          <w:color w:val="000000" w:themeColor="text1"/>
          <w:szCs w:val="22"/>
          <w:u w:color="000000" w:themeColor="text1"/>
        </w:rPr>
        <w:noBreakHyphen/>
        <w:t>41</w:t>
      </w:r>
      <w:r>
        <w:rPr>
          <w:rFonts w:eastAsiaTheme="minorHAnsi"/>
          <w:color w:val="000000" w:themeColor="text1"/>
          <w:szCs w:val="22"/>
          <w:u w:color="000000" w:themeColor="text1"/>
        </w:rPr>
        <w:noBreakHyphen/>
        <w:t>1110, RELATING TO A RENEWAL APPLICATION FOR A REGISTERED LIMITED LIABILITY COMPANY, SO AS TO PROVIDE THIS APPLICATION ANNUALLY MUST BE RENEWED BEFORE APRIL FIRST.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1, Chapter 11,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Budget and Control Board, in an effort to ensure state agency licensing, permitting, and regulation of economic activity is not unduly burdensome on economic activity in this State, shall develop a web</w:t>
      </w:r>
      <w:r>
        <w:rPr>
          <w:rFonts w:eastAsiaTheme="minorHAnsi"/>
          <w:color w:val="000000" w:themeColor="text1"/>
          <w:szCs w:val="22"/>
          <w:u w:color="000000" w:themeColor="text1"/>
        </w:rPr>
        <w:noBreakHyphen/>
        <w:t>based application for the submission of questions and concerns about state agency licensing, permitting, and regulation of economic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state agency that promulgates regulations, issues permits or licenses, and has a website on the Internet shall place on its website homepage a hyperlink or uniform resource locator that provides direct access to the web</w:t>
      </w:r>
      <w:r>
        <w:rPr>
          <w:rFonts w:eastAsiaTheme="minorHAnsi"/>
          <w:color w:val="000000" w:themeColor="text1"/>
          <w:szCs w:val="22"/>
          <w:u w:color="000000" w:themeColor="text1"/>
        </w:rPr>
        <w:noBreakHyphen/>
        <w:t>based application provided in subsection (A)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39, Title 48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155.</w:t>
      </w:r>
      <w:r>
        <w:rPr>
          <w:rFonts w:eastAsiaTheme="minorHAnsi"/>
          <w:color w:val="000000" w:themeColor="text1"/>
          <w:szCs w:val="22"/>
          <w:u w:color="000000" w:themeColor="text1"/>
        </w:rPr>
        <w:tab/>
        <w:t>A certification of consistency with the coastal zone management plan must be made by the Department of Health and Environmental Control within thirty days after the date the request is submitted to the department for this certification.  If the department fails to issue a written decision within this thirty</w:t>
      </w:r>
      <w:r>
        <w:rPr>
          <w:rFonts w:eastAsiaTheme="minorHAnsi"/>
          <w:color w:val="000000" w:themeColor="text1"/>
          <w:szCs w:val="22"/>
          <w:u w:color="000000" w:themeColor="text1"/>
        </w:rPr>
        <w:noBreakHyphen/>
        <w:t>day period, the proposed activity or license is considered consistent with the coastal zone management plan and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33</w:t>
      </w:r>
      <w:r>
        <w:rPr>
          <w:rFonts w:eastAsiaTheme="minorHAnsi"/>
          <w:color w:val="000000" w:themeColor="text1"/>
          <w:szCs w:val="22"/>
          <w:u w:color="000000" w:themeColor="text1"/>
        </w:rPr>
        <w:noBreakHyphen/>
        <w:t>41</w:t>
      </w:r>
      <w:r>
        <w:rPr>
          <w:rFonts w:eastAsiaTheme="minorHAnsi"/>
          <w:color w:val="000000" w:themeColor="text1"/>
          <w:szCs w:val="22"/>
          <w:u w:color="000000" w:themeColor="text1"/>
        </w:rPr>
        <w:noBreakHyphen/>
        <w:t>1110(C)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color w:val="000000" w:themeColor="text1"/>
          <w:szCs w:val="24"/>
          <w:u w:color="000000" w:themeColor="text1"/>
        </w:rPr>
        <w:t xml:space="preserve">The </w:t>
      </w:r>
      <w:r>
        <w:rPr>
          <w:color w:val="000000" w:themeColor="text1"/>
          <w:szCs w:val="24"/>
          <w:u w:val="single" w:color="000000" w:themeColor="text1"/>
        </w:rPr>
        <w:t>initial</w:t>
      </w:r>
      <w:r>
        <w:rPr>
          <w:color w:val="000000" w:themeColor="text1"/>
          <w:szCs w:val="24"/>
          <w:u w:color="000000" w:themeColor="text1"/>
        </w:rPr>
        <w:t xml:space="preserve"> application or </w:t>
      </w:r>
      <w:r>
        <w:rPr>
          <w:color w:val="000000" w:themeColor="text1"/>
          <w:szCs w:val="24"/>
          <w:u w:val="single" w:color="000000" w:themeColor="text1"/>
        </w:rPr>
        <w:t>a</w:t>
      </w:r>
      <w:r>
        <w:rPr>
          <w:color w:val="000000" w:themeColor="text1"/>
          <w:szCs w:val="24"/>
          <w:u w:color="000000" w:themeColor="text1"/>
        </w:rPr>
        <w:t xml:space="preserve"> renewal application </w:t>
      </w:r>
      <w:r>
        <w:rPr>
          <w:color w:val="000000" w:themeColor="text1"/>
          <w:szCs w:val="24"/>
          <w:u w:val="single" w:color="000000" w:themeColor="text1"/>
        </w:rPr>
        <w:t>filed with the Secretary of State</w:t>
      </w:r>
      <w:r>
        <w:rPr>
          <w:color w:val="000000" w:themeColor="text1"/>
          <w:szCs w:val="24"/>
          <w:u w:color="000000" w:themeColor="text1"/>
        </w:rPr>
        <w:t xml:space="preserve"> must be accompanied by a fee of one hundred dollars.  </w:t>
      </w:r>
      <w:r>
        <w:rPr>
          <w:color w:val="000000" w:themeColor="text1"/>
          <w:szCs w:val="24"/>
          <w:u w:val="single" w:color="000000" w:themeColor="text1"/>
        </w:rPr>
        <w:t>A renewal application annually must be filed before before April first.</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Pr>
          <w:rFonts w:eastAsiaTheme="minorHAnsi"/>
          <w:color w:val="000000" w:themeColor="text1"/>
          <w:szCs w:val="22"/>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42133E-05BA-4766-8DB8-0D2BD3894AB8}"/>
    <w:embedBold r:id="rId2" w:fontKey="{32B74D87-3C4D-4C87-BD0F-D2C129A96A78}"/>
  </w:font>
  <w:font w:name="Calibri">
    <w:panose1 w:val="020F0502020204030204"/>
    <w:charset w:val="00"/>
    <w:family w:val="swiss"/>
    <w:pitch w:val="variable"/>
    <w:sig w:usb0="A00002EF" w:usb1="4000207B" w:usb2="00000000" w:usb3="00000000" w:csb0="0000009F" w:csb1="00000000"/>
    <w:embedRegular r:id="rId3" w:fontKey="{EB29ECDC-4E6C-4147-B5F1-79E7D80AB865}"/>
  </w:font>
  <w:font w:name="Tahoma">
    <w:panose1 w:val="020B0604030504040204"/>
    <w:charset w:val="00"/>
    <w:family w:val="swiss"/>
    <w:pitch w:val="variable"/>
    <w:sig w:usb0="61002A87" w:usb1="80000000" w:usb2="00000008" w:usb3="00000000" w:csb0="000101FF" w:csb1="00000000"/>
    <w:embedRegular r:id="rId4" w:fontKey="{F1123F83-A29D-44BA-BA62-A8196241E7B0}"/>
  </w:font>
  <w:font w:name="Cambria">
    <w:panose1 w:val="02040503050406030204"/>
    <w:charset w:val="00"/>
    <w:family w:val="roman"/>
    <w:pitch w:val="variable"/>
    <w:sig w:usb0="A00002EF" w:usb1="4000004B" w:usb2="00000000" w:usb3="00000000" w:csb0="0000009F" w:csb1="00000000"/>
    <w:embedRegular r:id="rId5" w:fontKey="{000CB98E-F7AB-4390-A23C-9EB9C67F7C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[3882]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19AB09"/>
    <w:docVar w:name="CoverBillType" w:val="b"/>
    <w:docVar w:name="docpath" w:val="L:\Council\bills\GGS\22319AB09.DOCX"/>
    <w:docVar w:name="dvBillNumber" w:val="3882"/>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2009-04-02T16:59:00Z</cp:lastPrinted>
  <dcterms:created xsi:type="dcterms:W3CDTF">2009-04-02T19:34:00Z</dcterms:created>
  <dcterms:modified xsi:type="dcterms:W3CDTF">2009-04-02T19:34:00Z</dcterms:modified>
</cp:coreProperties>
</file>