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0D0" w:rsidRP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7A5" w:rsidRPr="004E57A5" w:rsidRDefault="004E57A5" w:rsidP="004E57A5">
      <w:pPr>
        <w:tabs>
          <w:tab w:val="right" w:pos="5933"/>
        </w:tabs>
        <w:suppressAutoHyphens/>
      </w:pPr>
      <w:r>
        <w:tab/>
      </w:r>
      <w:r>
        <w:rPr>
          <w:b/>
          <w:sz w:val="36"/>
        </w:rPr>
        <w:t>S. 390</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7A5" w:rsidRDefault="004E57A5" w:rsidP="004E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4E57A5" w:rsidRPr="004E57A5" w:rsidRDefault="004E57A5" w:rsidP="004E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7A5" w:rsidRDefault="004E57A5" w:rsidP="004E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E57A5" w:rsidRPr="004E57A5" w:rsidRDefault="004E57A5" w:rsidP="004E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390) to enact the “Mental Health Parity and Addiction Act of 2009”; and to amend Section 38</w:t>
      </w:r>
      <w:r>
        <w:noBreakHyphen/>
        <w:t>71</w:t>
      </w:r>
      <w:r>
        <w:noBreakHyphen/>
        <w:t>880, as amended, Code of Laws of South Carolina, etc., respectfully</w:t>
      </w:r>
    </w:p>
    <w:p w:rsidR="004E57A5" w:rsidRPr="004E57A5" w:rsidRDefault="004E57A5" w:rsidP="004E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7A5" w:rsidRDefault="004E57A5"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4E57A5" w:rsidRPr="004E57A5" w:rsidRDefault="004E57A5" w:rsidP="004E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521" w:rsidSect="00735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rsidR="00784BAB"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Pr>
          <w:snapToGrid w:val="0"/>
        </w:rPr>
        <w:tab/>
        <w:t>(2)</w:t>
      </w:r>
      <w:r>
        <w:rPr>
          <w:snapToGrid w:val="0"/>
        </w:rPr>
        <w:tab/>
      </w:r>
      <w:r w:rsidRPr="00691465">
        <w:rPr>
          <w:szCs w:val="24"/>
        </w:rPr>
        <w:t xml:space="preserve">This section </w:t>
      </w:r>
      <w:r w:rsidRPr="00691465">
        <w:rPr>
          <w:strike/>
          <w:szCs w:val="24"/>
        </w:rPr>
        <w:t>shall</w:t>
      </w:r>
      <w:r w:rsidRPr="00691465">
        <w:rPr>
          <w:szCs w:val="24"/>
        </w:rPr>
        <w:t xml:space="preserve"> </w:t>
      </w:r>
      <w:r>
        <w:rPr>
          <w:szCs w:val="24"/>
          <w:u w:val="single"/>
        </w:rPr>
        <w:t>does</w:t>
      </w:r>
      <w:r>
        <w:rPr>
          <w:szCs w:val="24"/>
        </w:rPr>
        <w:t xml:space="preserve"> </w:t>
      </w:r>
      <w:r w:rsidRPr="00691465">
        <w:rPr>
          <w:szCs w:val="24"/>
        </w:rPr>
        <w:t xml:space="preserve">not apply with respect to health insurance coverage offered in connection with a group health plan if the application of this section to </w:t>
      </w:r>
      <w:r w:rsidRPr="00691465">
        <w:rPr>
          <w:strike/>
          <w:szCs w:val="24"/>
        </w:rPr>
        <w:t>such</w:t>
      </w:r>
      <w:r w:rsidRPr="00691465">
        <w:rPr>
          <w:szCs w:val="24"/>
        </w:rPr>
        <w:t xml:space="preserve"> </w:t>
      </w:r>
      <w:r>
        <w:rPr>
          <w:szCs w:val="24"/>
          <w:u w:val="single"/>
        </w:rPr>
        <w:t>this</w:t>
      </w:r>
      <w:r>
        <w:rPr>
          <w:szCs w:val="24"/>
        </w:rPr>
        <w:t xml:space="preserve"> </w:t>
      </w:r>
      <w:r w:rsidRPr="00691465">
        <w:rPr>
          <w:szCs w:val="24"/>
        </w:rPr>
        <w:t xml:space="preserve">coverage results in an increase in the </w:t>
      </w:r>
      <w:r>
        <w:rPr>
          <w:szCs w:val="24"/>
          <w:u w:val="single"/>
        </w:rPr>
        <w:t>actual total</w:t>
      </w:r>
      <w:r>
        <w:rPr>
          <w:szCs w:val="24"/>
        </w:rPr>
        <w:t xml:space="preserve"> </w:t>
      </w:r>
      <w:r w:rsidRPr="00691465">
        <w:rPr>
          <w:szCs w:val="24"/>
        </w:rPr>
        <w:t xml:space="preserve">cost for </w:t>
      </w:r>
      <w:r w:rsidRPr="00691465">
        <w:rPr>
          <w:strike/>
          <w:szCs w:val="24"/>
        </w:rPr>
        <w:t>such</w:t>
      </w:r>
      <w:r w:rsidRPr="00691465">
        <w:rPr>
          <w:szCs w:val="24"/>
        </w:rPr>
        <w:t xml:space="preserve"> </w:t>
      </w:r>
      <w:r>
        <w:rPr>
          <w:szCs w:val="24"/>
          <w:u w:val="single"/>
        </w:rPr>
        <w:t>the</w:t>
      </w:r>
      <w:r>
        <w:rPr>
          <w:szCs w:val="24"/>
        </w:rPr>
        <w:t xml:space="preserve"> </w:t>
      </w:r>
      <w:r w:rsidRPr="00691465">
        <w:rPr>
          <w:szCs w:val="24"/>
        </w:rPr>
        <w:t xml:space="preserve">coverage of at least </w:t>
      </w:r>
      <w:r w:rsidRPr="00691465">
        <w:rPr>
          <w:strike/>
          <w:szCs w:val="24"/>
        </w:rPr>
        <w:t>one</w:t>
      </w:r>
      <w:r w:rsidRPr="00691465">
        <w:rPr>
          <w:szCs w:val="24"/>
        </w:rPr>
        <w:t xml:space="preserve"> </w:t>
      </w:r>
      <w:r>
        <w:rPr>
          <w:szCs w:val="24"/>
          <w:u w:val="single"/>
        </w:rPr>
        <w:t>two</w:t>
      </w:r>
      <w:r>
        <w:rPr>
          <w:szCs w:val="24"/>
        </w:rPr>
        <w:t xml:space="preserve"> </w:t>
      </w:r>
      <w:r w:rsidRPr="00691465">
        <w:rPr>
          <w:szCs w:val="24"/>
        </w:rPr>
        <w:t>percent</w:t>
      </w:r>
      <w:r>
        <w:rPr>
          <w:szCs w:val="24"/>
        </w:rPr>
        <w:t xml:space="preserve"> </w:t>
      </w:r>
      <w:r>
        <w:rPr>
          <w:szCs w:val="24"/>
          <w:u w:val="single"/>
        </w:rPr>
        <w:t>in the case of the first plan year or at least one percent in the case of a subsequent plan year</w:t>
      </w:r>
      <w:r w:rsidRPr="00691465">
        <w:rPr>
          <w:szCs w:val="24"/>
        </w:rPr>
        <w:t xml:space="preserve">.  </w:t>
      </w:r>
      <w:r>
        <w:rPr>
          <w:szCs w:val="24"/>
          <w:u w:val="single"/>
        </w:rPr>
        <w:t>Determinations as to increases in actual total costs under a plan or coverage for purposes of this subsection must be made and certified by a qualified and licensed actuary who is a member in good standing of the American Academy of Actuaries.  Determinations must be in a written report prepared by the actuary.  The report, and all underlying documentation relied upon by the actuary, must be maintained by the group health plan and the health insurance issuer for a period of six years.</w:t>
      </w:r>
    </w:p>
    <w:p w:rsidR="00DD2153"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34F0">
        <w:rPr>
          <w:szCs w:val="24"/>
        </w:rPr>
        <w:lastRenderedPageBreak/>
        <w:tab/>
      </w:r>
      <w:r w:rsidRPr="00E134F0">
        <w:rPr>
          <w:szCs w:val="24"/>
        </w:rPr>
        <w:tab/>
      </w:r>
      <w:r>
        <w:rPr>
          <w:szCs w:val="24"/>
          <w:u w:val="single"/>
        </w:rPr>
        <w:t>(3)</w:t>
      </w:r>
      <w:r w:rsidRPr="003A20DF">
        <w:rPr>
          <w:szCs w:val="24"/>
        </w:rPr>
        <w:tab/>
      </w:r>
      <w:r>
        <w:rPr>
          <w:szCs w:val="24"/>
          <w:u w:val="single"/>
        </w:rPr>
        <w:t>When a group health insurance coverage offered in connection with a group health plan that qualifies for exemption pursuant to the provisions of item (2), the plan or coverage must continue to apply the requirements of applicable state law, including Sections 38-71-290 and 38-71-737, where required.</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lastRenderedPageBreak/>
        <w:tab/>
      </w:r>
      <w:r>
        <w:rPr>
          <w:strike/>
          <w:szCs w:val="24"/>
        </w:rPr>
        <w:t>(F)</w:t>
      </w:r>
      <w:r>
        <w:rPr>
          <w:szCs w:val="24"/>
        </w:rPr>
        <w:tab/>
      </w:r>
      <w:r>
        <w:rPr>
          <w:strike/>
          <w:szCs w:val="24"/>
        </w:rPr>
        <w:t>This section does not apply to benefits for services furnished on or after December 31, 2006.</w:t>
      </w:r>
      <w:r>
        <w:rPr>
          <w:szCs w:val="24"/>
        </w:rPr>
        <w:t>”</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 3.</w:t>
      </w:r>
      <w:r>
        <w:rPr>
          <w:szCs w:val="24"/>
        </w:rPr>
        <w:tab/>
        <w:t>Section 38-71-290(A)(1) of the 1976 Code is amended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w:t>
      </w:r>
      <w:r>
        <w:rPr>
          <w:szCs w:val="24"/>
        </w:rPr>
        <w:tab/>
        <w:t>‘</w:t>
      </w:r>
      <w:r w:rsidRPr="00ED77B8">
        <w:rPr>
          <w:szCs w:val="24"/>
        </w:rPr>
        <w:t>Health insurance plan</w:t>
      </w:r>
      <w:r>
        <w:rPr>
          <w:szCs w:val="24"/>
        </w:rPr>
        <w:t>’</w:t>
      </w:r>
      <w:r w:rsidRPr="00ED77B8">
        <w:rPr>
          <w:szCs w:val="24"/>
        </w:rPr>
        <w:t xml:space="preserve"> means a health insurance policy or health benefit plan offered by </w:t>
      </w:r>
      <w:r w:rsidRPr="00ED77B8">
        <w:rPr>
          <w:strike/>
          <w:szCs w:val="24"/>
        </w:rPr>
        <w:t>a health insurer or a health maintenance organization</w:t>
      </w:r>
      <w:r>
        <w:rPr>
          <w:szCs w:val="24"/>
        </w:rPr>
        <w:t xml:space="preserve"> </w:t>
      </w:r>
      <w:r>
        <w:rPr>
          <w:szCs w:val="24"/>
          <w:u w:val="single"/>
        </w:rPr>
        <w:t>an insurance issuer</w:t>
      </w:r>
      <w:r w:rsidRPr="00ED77B8">
        <w:rPr>
          <w:szCs w:val="24"/>
        </w:rPr>
        <w:t xml:space="preserve">, including a qualified health benefit plan offered or administered by the State, or a subdivision or instrumentality of the State, that provides </w:t>
      </w:r>
      <w:r>
        <w:rPr>
          <w:szCs w:val="24"/>
          <w:u w:val="single"/>
        </w:rPr>
        <w:t>group</w:t>
      </w:r>
      <w:r>
        <w:rPr>
          <w:szCs w:val="24"/>
        </w:rPr>
        <w:t xml:space="preserve"> </w:t>
      </w:r>
      <w:r w:rsidRPr="00ED77B8">
        <w:rPr>
          <w:szCs w:val="24"/>
        </w:rPr>
        <w:t xml:space="preserve">health insurance coverage as defined by Section </w:t>
      </w:r>
      <w:r w:rsidRPr="00ED77B8">
        <w:rPr>
          <w:strike/>
          <w:szCs w:val="24"/>
        </w:rPr>
        <w:t>38</w:t>
      </w:r>
      <w:r w:rsidRPr="00ED77B8">
        <w:rPr>
          <w:strike/>
          <w:szCs w:val="24"/>
        </w:rPr>
        <w:noBreakHyphen/>
        <w:t>71</w:t>
      </w:r>
      <w:r w:rsidRPr="00ED77B8">
        <w:rPr>
          <w:strike/>
          <w:szCs w:val="24"/>
        </w:rPr>
        <w:noBreakHyphen/>
        <w:t>670(6)</w:t>
      </w:r>
      <w:r>
        <w:rPr>
          <w:szCs w:val="24"/>
        </w:rPr>
        <w:t xml:space="preserve"> </w:t>
      </w:r>
      <w:r>
        <w:rPr>
          <w:szCs w:val="24"/>
          <w:u w:val="single"/>
        </w:rPr>
        <w:t>38-71-840(12)</w:t>
      </w:r>
      <w:r>
        <w:rPr>
          <w:szCs w:val="24"/>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w:t>
      </w:r>
      <w:r>
        <w:rPr>
          <w:szCs w:val="24"/>
        </w:rPr>
        <w:tab/>
        <w:t>Section 38-71-290(F) of the 1976 Code is amended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r>
      <w:r w:rsidRPr="00ED77B8">
        <w:rPr>
          <w:szCs w:val="24"/>
        </w:rPr>
        <w:t xml:space="preserve">The provisions of this section do not: </w:t>
      </w: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ED77B8">
        <w:rPr>
          <w:szCs w:val="24"/>
        </w:rPr>
        <w:t>(1)</w:t>
      </w:r>
      <w:r>
        <w:rPr>
          <w:szCs w:val="24"/>
        </w:rPr>
        <w:tab/>
      </w:r>
      <w:r w:rsidRPr="00ED77B8">
        <w:rPr>
          <w:szCs w:val="24"/>
        </w:rPr>
        <w:t xml:space="preserve">limit the provision of specialized medical services for individuals with mental health disorders; </w:t>
      </w: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ED77B8">
        <w:rPr>
          <w:szCs w:val="24"/>
        </w:rPr>
        <w:t>(2)</w:t>
      </w:r>
      <w:r>
        <w:rPr>
          <w:szCs w:val="24"/>
        </w:rPr>
        <w:tab/>
      </w:r>
      <w:r w:rsidRPr="00ED77B8">
        <w:rPr>
          <w:szCs w:val="24"/>
        </w:rPr>
        <w:t xml:space="preserve">supersede the provisions of federal law, federal or state Medicaid policy, or the terms and conditions imposed on a Medicaid waiver granted to the State for the provision of services to individuals with mental health disorders;  </w:t>
      </w:r>
      <w:r w:rsidRPr="00ED77B8">
        <w:rPr>
          <w:strike/>
          <w:szCs w:val="24"/>
        </w:rPr>
        <w:t>or</w:t>
      </w:r>
      <w:r w:rsidRPr="00ED77B8">
        <w:rPr>
          <w:szCs w:val="24"/>
        </w:rPr>
        <w:t xml:space="preserve"> </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ED77B8">
        <w:rPr>
          <w:szCs w:val="24"/>
        </w:rPr>
        <w:t>(3)</w:t>
      </w:r>
      <w:r>
        <w:rPr>
          <w:szCs w:val="24"/>
        </w:rPr>
        <w:tab/>
      </w:r>
      <w:r w:rsidRPr="00ED77B8">
        <w:rPr>
          <w:szCs w:val="24"/>
        </w:rPr>
        <w:t>require a health insurance plan to provide rates, terms, or conditions for access to treatment for mental illness that are identical to rates, terms, or conditions for access to treatment for a physical condition</w:t>
      </w:r>
      <w:r w:rsidRPr="00ED77B8">
        <w:rPr>
          <w:strike/>
          <w:szCs w:val="24"/>
        </w:rPr>
        <w:t>.</w:t>
      </w:r>
      <w:r>
        <w:rPr>
          <w:szCs w:val="24"/>
          <w:u w:val="single"/>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A20DF">
        <w:rPr>
          <w:szCs w:val="24"/>
        </w:rPr>
        <w:tab/>
      </w:r>
      <w:r w:rsidRPr="003A20DF">
        <w:rPr>
          <w:szCs w:val="24"/>
        </w:rPr>
        <w:tab/>
      </w:r>
      <w:r>
        <w:rPr>
          <w:szCs w:val="24"/>
          <w:u w:val="single"/>
        </w:rPr>
        <w:t>(4)</w:t>
      </w:r>
      <w:r w:rsidRPr="003A20DF">
        <w:rPr>
          <w:szCs w:val="24"/>
        </w:rPr>
        <w:tab/>
      </w:r>
      <w:r>
        <w:rPr>
          <w:szCs w:val="24"/>
          <w:u w:val="single"/>
        </w:rPr>
        <w:t>apply to a health insurance plan that is individually underwritten; or</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3A20DF">
        <w:rPr>
          <w:szCs w:val="24"/>
        </w:rPr>
        <w:tab/>
      </w:r>
      <w:r w:rsidRPr="003A20DF">
        <w:rPr>
          <w:szCs w:val="24"/>
        </w:rPr>
        <w:tab/>
      </w:r>
      <w:r>
        <w:rPr>
          <w:szCs w:val="24"/>
          <w:u w:val="single"/>
        </w:rPr>
        <w:t>(5)</w:t>
      </w:r>
      <w:r w:rsidRPr="003A20DF">
        <w:rPr>
          <w:szCs w:val="24"/>
        </w:rPr>
        <w:tab/>
      </w:r>
      <w:r>
        <w:rPr>
          <w:szCs w:val="24"/>
          <w:u w:val="single"/>
        </w:rPr>
        <w:t>apply to a health insurance plan provided to a small employer, as defined in Section 38-71-1330(18).</w:t>
      </w:r>
      <w:r w:rsidR="001C487F">
        <w:rPr>
          <w:szCs w:val="24"/>
        </w:rPr>
        <w:t>”</w:t>
      </w:r>
      <w:r>
        <w:rPr>
          <w:szCs w:val="24"/>
        </w:rPr>
        <w:t xml:space="preserve"> </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5.</w:t>
      </w:r>
      <w:r>
        <w:rPr>
          <w:szCs w:val="24"/>
        </w:rPr>
        <w:tab/>
        <w:t>Section 38-71-290 of the 1976 Code is amended by adding an appropriately lettered subsection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E134F0">
        <w:rPr>
          <w:szCs w:val="24"/>
        </w:rPr>
        <w:t>“</w:t>
      </w:r>
      <w:r>
        <w:rPr>
          <w:szCs w:val="24"/>
          <w:u w:val="single"/>
        </w:rPr>
        <w:t>(G)</w:t>
      </w:r>
      <w:r w:rsidRPr="003A20DF">
        <w:rPr>
          <w:szCs w:val="24"/>
        </w:rPr>
        <w:tab/>
      </w:r>
      <w:r>
        <w:rPr>
          <w:szCs w:val="24"/>
          <w:u w:val="single"/>
        </w:rPr>
        <w:t>The provisions of this section apply where required regardless of the applicability of Section 38-71-880 regarding parity in the application of certain limits to mental health and substance use disorder benefits.</w:t>
      </w:r>
      <w:r w:rsidRPr="00E134F0">
        <w:rPr>
          <w:szCs w:val="24"/>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D2153">
        <w:t>6</w:t>
      </w:r>
      <w:r>
        <w:t>.</w:t>
      </w:r>
      <w:r>
        <w:tab/>
        <w:t>This act takes effect upon approval by the Governor and applies to group health plans for plan years beginning after October 2, 2009.</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4BAB" w:rsidRDefault="00784BAB" w:rsidP="00E94DFF">
      <w:pPr>
        <w:suppressAutoHyphens/>
      </w:pPr>
    </w:p>
    <w:sectPr w:rsidR="00784BAB" w:rsidSect="00735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153" w:rsidRDefault="00DD2153">
      <w:r>
        <w:separator/>
      </w:r>
    </w:p>
  </w:endnote>
  <w:endnote w:type="continuationSeparator" w:id="1">
    <w:p w:rsidR="00DD2153" w:rsidRDefault="00DD21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AB4454-A094-45F1-B3F5-187BBDF44EBA}"/>
    <w:embedBold r:id="rId2" w:fontKey="{51E63922-63DB-4497-9A15-41333DF6D545}"/>
  </w:font>
  <w:font w:name="Calibri">
    <w:panose1 w:val="020F0502020204030204"/>
    <w:charset w:val="00"/>
    <w:family w:val="swiss"/>
    <w:pitch w:val="variable"/>
    <w:sig w:usb0="A00002EF" w:usb1="4000207B" w:usb2="00000000" w:usb3="00000000" w:csb0="0000009F" w:csb1="00000000"/>
    <w:embedRegular r:id="rId3" w:fontKey="{9E114BA5-12A1-484F-98FB-65396A115CF6}"/>
  </w:font>
  <w:font w:name="Cambria">
    <w:panose1 w:val="02040503050406030204"/>
    <w:charset w:val="00"/>
    <w:family w:val="roman"/>
    <w:pitch w:val="variable"/>
    <w:sig w:usb0="A00002EF" w:usb1="4000004B" w:usb2="00000000" w:usb3="00000000" w:csb0="0000009F" w:csb1="00000000"/>
    <w:embedRegular r:id="rId4" w:fontKey="{128B1395-AD7A-43E0-AF95-09FC6769E4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53" w:rsidRDefault="00DD2153">
    <w:pPr>
      <w:pStyle w:val="Footer"/>
      <w:tabs>
        <w:tab w:val="clear" w:pos="4680"/>
        <w:tab w:val="clear" w:pos="9360"/>
        <w:tab w:val="center" w:pos="2995"/>
      </w:tabs>
      <w:spacing w:before="120"/>
    </w:pPr>
    <w:r>
      <w:t>[390-</w:t>
    </w:r>
    <w:fldSimple w:instr=" PAGE  \* MERGEFORMAT ">
      <w:r w:rsidR="00E94D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53" w:rsidRDefault="00DD2153">
    <w:pPr>
      <w:pStyle w:val="Footer"/>
      <w:tabs>
        <w:tab w:val="clear" w:pos="4680"/>
        <w:tab w:val="clear" w:pos="9360"/>
        <w:tab w:val="center" w:pos="2995"/>
      </w:tabs>
      <w:spacing w:before="120"/>
    </w:pPr>
    <w:r>
      <w:t>[390]</w:t>
    </w:r>
    <w:r>
      <w:tab/>
    </w:r>
    <w:fldSimple w:instr=" PAGE  \* MERGEFORMAT ">
      <w:r w:rsidR="00E94D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153" w:rsidRDefault="00DD2153">
      <w:r>
        <w:separator/>
      </w:r>
    </w:p>
  </w:footnote>
  <w:footnote w:type="continuationSeparator" w:id="1">
    <w:p w:rsidR="00DD2153" w:rsidRDefault="00DD21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w:rsids>
    <w:rsidRoot w:val="00784BAB"/>
    <w:rsid w:val="00024C67"/>
    <w:rsid w:val="00097D98"/>
    <w:rsid w:val="001C487F"/>
    <w:rsid w:val="00212ECB"/>
    <w:rsid w:val="002B1521"/>
    <w:rsid w:val="00401C5D"/>
    <w:rsid w:val="004E45F2"/>
    <w:rsid w:val="004E57A5"/>
    <w:rsid w:val="00531F4D"/>
    <w:rsid w:val="006317AD"/>
    <w:rsid w:val="00687464"/>
    <w:rsid w:val="007350D0"/>
    <w:rsid w:val="00784BAB"/>
    <w:rsid w:val="007D6467"/>
    <w:rsid w:val="00A43837"/>
    <w:rsid w:val="00D255C0"/>
    <w:rsid w:val="00D54ED1"/>
    <w:rsid w:val="00DD2153"/>
    <w:rsid w:val="00E134F0"/>
    <w:rsid w:val="00E62EC1"/>
    <w:rsid w:val="00E94DFF"/>
    <w:rsid w:val="00EA2D55"/>
    <w:rsid w:val="00F749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AB"/>
    <w:rPr>
      <w:rFonts w:eastAsia="Times New Roman" w:cs="Times New Roman"/>
      <w:b/>
      <w:sz w:val="30"/>
      <w:szCs w:val="20"/>
    </w:rPr>
  </w:style>
  <w:style w:type="paragraph" w:styleId="Header">
    <w:name w:val="header"/>
    <w:basedOn w:val="Normal"/>
    <w:link w:val="HeaderChar"/>
    <w:uiPriority w:val="99"/>
    <w:semiHidden/>
    <w:unhideWhenUsed/>
    <w:rsid w:val="00784BAB"/>
    <w:pPr>
      <w:tabs>
        <w:tab w:val="center" w:pos="4320"/>
        <w:tab w:val="right" w:pos="8640"/>
      </w:tabs>
    </w:pPr>
  </w:style>
  <w:style w:type="character" w:customStyle="1" w:styleId="HeaderChar">
    <w:name w:val="Header Char"/>
    <w:basedOn w:val="DefaultParagraphFont"/>
    <w:link w:val="Header"/>
    <w:uiPriority w:val="99"/>
    <w:semiHidden/>
    <w:rsid w:val="00784BAB"/>
    <w:rPr>
      <w:rFonts w:eastAsia="Times New Roman" w:cs="Times New Roman"/>
      <w:szCs w:val="20"/>
    </w:rPr>
  </w:style>
  <w:style w:type="paragraph" w:styleId="Footer">
    <w:name w:val="footer"/>
    <w:basedOn w:val="Normal"/>
    <w:link w:val="FooterChar"/>
    <w:uiPriority w:val="99"/>
    <w:unhideWhenUsed/>
    <w:rsid w:val="00784BAB"/>
    <w:pPr>
      <w:tabs>
        <w:tab w:val="center" w:pos="4680"/>
        <w:tab w:val="right" w:pos="9360"/>
      </w:tabs>
    </w:pPr>
  </w:style>
  <w:style w:type="character" w:customStyle="1" w:styleId="FooterChar">
    <w:name w:val="Footer Char"/>
    <w:basedOn w:val="DefaultParagraphFont"/>
    <w:link w:val="Footer"/>
    <w:uiPriority w:val="99"/>
    <w:rsid w:val="00784BAB"/>
    <w:rPr>
      <w:rFonts w:eastAsia="Times New Roman" w:cs="Times New Roman"/>
      <w:szCs w:val="20"/>
    </w:rPr>
  </w:style>
  <w:style w:type="character" w:styleId="PageNumber">
    <w:name w:val="page number"/>
    <w:basedOn w:val="DefaultParagraphFont"/>
    <w:uiPriority w:val="99"/>
    <w:semiHidden/>
    <w:unhideWhenUsed/>
    <w:rsid w:val="00784BAB"/>
  </w:style>
  <w:style w:type="character" w:styleId="LineNumber">
    <w:name w:val="line number"/>
    <w:basedOn w:val="DefaultParagraphFont"/>
    <w:uiPriority w:val="99"/>
    <w:semiHidden/>
    <w:unhideWhenUsed/>
    <w:rsid w:val="00784BAB"/>
  </w:style>
  <w:style w:type="paragraph" w:customStyle="1" w:styleId="BillDots">
    <w:name w:val="BillDots"/>
    <w:basedOn w:val="Normal"/>
    <w:autoRedefine/>
    <w:qFormat/>
    <w:rsid w:val="00784BA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84BAB"/>
    <w:pPr>
      <w:tabs>
        <w:tab w:val="right" w:pos="5904"/>
      </w:tabs>
    </w:pPr>
  </w:style>
  <w:style w:type="character" w:styleId="FollowedHyperlink">
    <w:name w:val="FollowedHyperlink"/>
    <w:basedOn w:val="DefaultParagraphFont"/>
    <w:uiPriority w:val="99"/>
    <w:semiHidden/>
    <w:unhideWhenUsed/>
    <w:rsid w:val="00097D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2009-05-14T22:42:00Z</cp:lastPrinted>
  <dcterms:created xsi:type="dcterms:W3CDTF">2009-05-14T22:43:00Z</dcterms:created>
  <dcterms:modified xsi:type="dcterms:W3CDTF">2009-05-14T22:43:00Z</dcterms:modified>
</cp:coreProperties>
</file>