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environment by effective regulation of pyrotechnics. Public safety </w:t>
      </w:r>
      <w:r>
        <w:rPr>
          <w:rFonts w:eastAsiaTheme="minorHAnsi"/>
          <w:color w:val="000000" w:themeColor="text1"/>
          <w:szCs w:val="22"/>
          <w:u w:val="single" w:color="000000" w:themeColor="text1"/>
        </w:rPr>
        <w:lastRenderedPageBreak/>
        <w:t>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w:t>
      </w:r>
      <w:r>
        <w:rPr>
          <w:szCs w:val="24"/>
          <w:u w:val="single"/>
        </w:rPr>
        <w:t>one must be a fireworks retailer,</w:t>
      </w:r>
      <w:r>
        <w:rPr>
          <w:szCs w:val="24"/>
        </w:rPr>
        <w:t xml:space="preserve"> and </w:t>
      </w:r>
      <w:r>
        <w:rPr>
          <w:strike/>
          <w:szCs w:val="24"/>
        </w:rPr>
        <w:t>three</w:t>
      </w:r>
      <w:r>
        <w:rPr>
          <w:szCs w:val="24"/>
        </w:rPr>
        <w:t xml:space="preserve"> </w:t>
      </w:r>
      <w:r>
        <w:rPr>
          <w:szCs w:val="24"/>
          <w:u w:val="single"/>
        </w:rPr>
        <w:t>two</w:t>
      </w:r>
      <w:r>
        <w:rPr>
          <w:szCs w:val="24"/>
        </w:rPr>
        <w:t xml:space="preserve"> must be members of the public who </w:t>
      </w:r>
      <w:r>
        <w:rPr>
          <w:strike/>
          <w:szCs w:val="24"/>
        </w:rPr>
        <w:t>shall</w:t>
      </w:r>
      <w:r>
        <w:rPr>
          <w:szCs w:val="24"/>
        </w:rPr>
        <w:t xml:space="preserve"> </w:t>
      </w:r>
      <w:r>
        <w:rPr>
          <w:szCs w:val="24"/>
          <w:u w:val="single"/>
        </w:rPr>
        <w:t>do</w:t>
      </w:r>
      <w:r>
        <w:rPr>
          <w:szCs w:val="24"/>
        </w:rPr>
        <w:t xml:space="preserve">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w:t>
      </w:r>
      <w:r>
        <w:rPr>
          <w:strike/>
          <w:szCs w:val="24"/>
        </w:rPr>
        <w:t>per</w:t>
      </w:r>
      <w:r>
        <w:rPr>
          <w:szCs w:val="24"/>
        </w:rPr>
        <w:t xml:space="preserve"> </w:t>
      </w:r>
      <w:r>
        <w:rPr>
          <w:szCs w:val="24"/>
          <w:u w:val="single"/>
        </w:rPr>
        <w:t>each</w:t>
      </w:r>
      <w:r>
        <w:rPr>
          <w:szCs w:val="24"/>
        </w:rPr>
        <w:t xml:space="preserve">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state.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The Department’s Office of State Fire Marshal shall provide administrative support as required by the board to perform </w:t>
      </w:r>
      <w:r>
        <w:rPr>
          <w:szCs w:val="24"/>
          <w:u w:val="single"/>
        </w:rPr>
        <w:lastRenderedPageBreak/>
        <w:t>its prescribed functions.  The State Fire Marshal is an official consultant and is authorized to attend all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shall set fees for licenses and other incurred administrative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torpedoes, automotive, aeronautical, and marine flares and smoke signals;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 chiefs and their inspectors, sheriffs and their deputies, chiefs of police and their officers, and SLED agents have the authority to inspect any building, facility, or vehicle where fireworks may be manufactured, stored, or sold and any records of manufacturing, storage, sales, and purchases that are required to be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consumer fireworks must comply with standards set by the U.S. Department of Transportation and the CPSC for consumer </w:t>
      </w:r>
      <w:r>
        <w:rPr>
          <w:rFonts w:eastAsiaTheme="minorHAnsi"/>
          <w:color w:val="000000" w:themeColor="text1"/>
          <w:szCs w:val="22"/>
          <w:u w:val="single" w:color="000000" w:themeColor="text1"/>
        </w:rPr>
        <w:lastRenderedPageBreak/>
        <w:t>fireworks. The board may request fireworks be tested by a CPSC certified testing group to see that these standards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CEF9F5-07F0-46BE-86E3-9D40B697EF32}"/>
    <w:embedBold r:id="rId2" w:fontKey="{4BFC10ED-85FA-4C7D-B9A6-DF067C8109C9}"/>
  </w:font>
  <w:font w:name="Calibri">
    <w:panose1 w:val="020F0502020204030204"/>
    <w:charset w:val="00"/>
    <w:family w:val="swiss"/>
    <w:pitch w:val="variable"/>
    <w:sig w:usb0="A00002EF" w:usb1="4000207B" w:usb2="00000000" w:usb3="00000000" w:csb0="0000009F" w:csb1="00000000"/>
    <w:embedRegular r:id="rId3" w:fontKey="{B78FFA00-F22E-4439-B6BA-C5BF7726229B}"/>
  </w:font>
  <w:font w:name="Cambria">
    <w:panose1 w:val="02040503050406030204"/>
    <w:charset w:val="00"/>
    <w:family w:val="roman"/>
    <w:pitch w:val="variable"/>
    <w:sig w:usb0="A00002EF" w:usb1="4000004B" w:usb2="00000000" w:usb3="00000000" w:csb0="0000009F" w:csb1="00000000"/>
    <w:embedRegular r:id="rId4" w:fontKey="{60B550A0-CD78-4444-B3D2-5436CE2DBD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[3941]</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11MM09"/>
    <w:docVar w:name="CoverBillType" w:val="b"/>
    <w:docVar w:name="docpath" w:val="L:\Council\bills\AGM\19411MM09.DOCX"/>
    <w:docVar w:name="dvBillNumber" w:val="3941"/>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2009-04-21T16:28:00Z</cp:lastPrinted>
  <dcterms:created xsi:type="dcterms:W3CDTF">2009-04-22T19:33:00Z</dcterms:created>
  <dcterms:modified xsi:type="dcterms:W3CDTF">2009-04-22T19:33:00Z</dcterms:modified>
</cp:coreProperties>
</file>