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7FA3" w:rsidRP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2009</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Pr="00EA7FA3" w:rsidRDefault="00EA7FA3" w:rsidP="00EA7FA3">
      <w:pPr>
        <w:tabs>
          <w:tab w:val="right" w:pos="5933"/>
        </w:tabs>
        <w:suppressAutoHyphens/>
      </w:pPr>
      <w:r>
        <w:tab/>
      </w:r>
      <w:r>
        <w:rPr>
          <w:b/>
          <w:sz w:val="36"/>
        </w:rPr>
        <w:t>H. 3941</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Hayes, Gambrell, Agnew, Bowen, Gullick and Moss</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4/30/09--H.</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2009.</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3941) to amend Chapter 56, Title 40, Code of Laws of South Carolina, 1976, relating to the State Board of Pyrotechnic Regulations, so as to revise the chapter title, etc., respectfully</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FA3">
        <w:tab/>
        <w:t>Amend the bill, as and if amended, Section 40</w:t>
      </w:r>
      <w:r w:rsidRPr="00EA7FA3">
        <w:noBreakHyphen/>
        <w:t>56</w:t>
      </w:r>
      <w:r w:rsidRPr="00EA7FA3">
        <w:noBreakHyphen/>
        <w:t xml:space="preserve">10(A) as found in SECTION 1, page 2, line 18, by deleting / </w:t>
      </w:r>
      <w:r w:rsidRPr="00EA7FA3">
        <w:rPr>
          <w:u w:val="single"/>
        </w:rPr>
        <w:t>two</w:t>
      </w:r>
      <w:r w:rsidRPr="00EA7FA3">
        <w:t xml:space="preserve"> / and inserting   / three /.</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FA3">
        <w:tab/>
        <w:t>Renumber sections to conform.</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FA3">
        <w:tab/>
        <w:t>Amend title to conform.</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7FA3" w:rsidSect="00EA7F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State Board of Pyrotechnic </w:t>
      </w:r>
      <w:r>
        <w:rPr>
          <w:strike/>
          <w:szCs w:val="24"/>
        </w:rPr>
        <w:t>Regulations</w:t>
      </w:r>
      <w:r>
        <w:rPr>
          <w:szCs w:val="24"/>
        </w:rPr>
        <w:t xml:space="preserve"> </w:t>
      </w:r>
      <w:r>
        <w:rPr>
          <w:szCs w:val="24"/>
          <w:u w:val="single"/>
        </w:rPr>
        <w:t>Safety</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the policy of this State, and the purpose of this chapter, to promote the safety of the public and the environment by effective regulation of pyrotechnics. Public safety </w:t>
      </w:r>
      <w:r>
        <w:rPr>
          <w:rFonts w:eastAsiaTheme="minorHAnsi"/>
          <w:color w:val="000000" w:themeColor="text1"/>
          <w:szCs w:val="22"/>
          <w:u w:val="single" w:color="000000" w:themeColor="text1"/>
        </w:rPr>
        <w:lastRenderedPageBreak/>
        <w:t>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u w:val="single"/>
        </w:rPr>
        <w:t>(A)</w:t>
      </w:r>
      <w:r>
        <w:rPr>
          <w:szCs w:val="24"/>
        </w:rPr>
        <w:tab/>
      </w:r>
      <w:r>
        <w:rPr>
          <w:strike/>
          <w:szCs w:val="24"/>
        </w:rPr>
        <w:t>There is created</w:t>
      </w:r>
      <w:r>
        <w:rPr>
          <w:szCs w:val="24"/>
        </w:rPr>
        <w:t xml:space="preserve"> </w:t>
      </w:r>
      <w:r>
        <w:rPr>
          <w:szCs w:val="24"/>
        </w:rPr>
        <w:tab/>
        <w:t xml:space="preserve">The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of the appointees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Pr>
          <w:strike/>
          <w:szCs w:val="24"/>
        </w:rPr>
        <w:t>retailer</w:t>
      </w:r>
      <w:r>
        <w:rPr>
          <w:szCs w:val="24"/>
        </w:rPr>
        <w:t xml:space="preserve"> </w:t>
      </w:r>
      <w:r>
        <w:rPr>
          <w:szCs w:val="24"/>
          <w:u w:val="single"/>
        </w:rPr>
        <w:t>wholesaler</w:t>
      </w:r>
      <w:r>
        <w:rPr>
          <w:szCs w:val="24"/>
        </w:rPr>
        <w:t xml:space="preserve">, one must be a law enforcement representative, </w:t>
      </w:r>
      <w:r>
        <w:rPr>
          <w:szCs w:val="24"/>
          <w:u w:val="single"/>
        </w:rPr>
        <w:t>one must be a fireworks retailer,</w:t>
      </w:r>
      <w:r>
        <w:rPr>
          <w:szCs w:val="24"/>
        </w:rPr>
        <w:t xml:space="preserve"> and </w:t>
      </w:r>
      <w:r>
        <w:rPr>
          <w:strike/>
          <w:szCs w:val="24"/>
        </w:rPr>
        <w:t>three</w:t>
      </w:r>
      <w:r>
        <w:rPr>
          <w:szCs w:val="24"/>
        </w:rPr>
        <w:t xml:space="preserve"> </w:t>
      </w:r>
      <w:r>
        <w:rPr>
          <w:szCs w:val="24"/>
          <w:u w:val="single"/>
        </w:rPr>
        <w:t>two</w:t>
      </w:r>
      <w:r>
        <w:rPr>
          <w:szCs w:val="24"/>
        </w:rPr>
        <w:t xml:space="preserve"> must be members of the public who </w:t>
      </w:r>
      <w:r>
        <w:rPr>
          <w:strike/>
          <w:szCs w:val="24"/>
        </w:rPr>
        <w:t>shall</w:t>
      </w:r>
      <w:r>
        <w:rPr>
          <w:szCs w:val="24"/>
        </w:rPr>
        <w:t xml:space="preserve"> </w:t>
      </w:r>
      <w:r>
        <w:rPr>
          <w:szCs w:val="24"/>
          <w:u w:val="single"/>
        </w:rPr>
        <w:t>do</w:t>
      </w:r>
      <w:r>
        <w:rPr>
          <w:szCs w:val="24"/>
        </w:rPr>
        <w:t xml:space="preserve">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w:t>
      </w:r>
      <w:r>
        <w:rPr>
          <w:strike/>
          <w:szCs w:val="24"/>
        </w:rPr>
        <w:t>per</w:t>
      </w:r>
      <w:r>
        <w:rPr>
          <w:szCs w:val="24"/>
        </w:rPr>
        <w:t xml:space="preserve"> </w:t>
      </w:r>
      <w:r>
        <w:rPr>
          <w:szCs w:val="24"/>
          <w:u w:val="single"/>
        </w:rPr>
        <w:t>each</w:t>
      </w:r>
      <w:r>
        <w:rPr>
          <w:szCs w:val="24"/>
        </w:rPr>
        <w:t xml:space="preserve">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from the general fund of the state.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 Department’s Office of State Fire Marshal shall provide administrative support as required by the board to perform its prescribed functions.  The State Fire Marshal is an official consultant and is authorized to attend all meetings.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u w:val="single"/>
        </w:rPr>
        <w:t>As used in this chapter: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‘APA’ means the American Pyrotechnics Association.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‘Board’ means the State Board of Pyrotechnic Safety.</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rFonts w:eastAsiaTheme="minorHAnsi"/>
          <w:color w:val="000000" w:themeColor="text1"/>
          <w:szCs w:val="22"/>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‘CPSC’ means The U.S. Consumer Product Safety Commission.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‘Department’ means the Department of Labor, Licensing and Regulation.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‘DOT’ means the U.S. Department of Transportation.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means any composition or device designed to produce a visible or an audible effect by combustion, deflagration, or detonation, and which meets the definition of ‘consumer fireworks’ or ‘display fireworks’ as defined by this section.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firm, or entity that has been issued a license by the board under the provisions of this chapter to manufacture, sell, or store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‘NFPA’ means National Fire Protection Association.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‘Pyrotechnics’ means any composition or device designed to produce visible or audible effects for entertainment purposes by combustion, deflagration, or detonation.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to engage in the manufacturing, storage, or sale of pyrotechnics unless in compliance with this chapter.</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for in this section, a person, firm or entity that manufactures, sells, or stores fireworks shall obtain a license issued by the board pursuant to this chapter.  General license requirements are as follows: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not be issued to anyone under the age of twenty</w:t>
      </w:r>
      <w:r>
        <w:rPr>
          <w:rFonts w:eastAsiaTheme="minorHAnsi"/>
          <w:color w:val="000000" w:themeColor="text1"/>
          <w:szCs w:val="22"/>
          <w:u w:val="single" w:color="000000" w:themeColor="text1"/>
        </w:rPr>
        <w:noBreakHyphen/>
        <w:t xml:space="preserve">one.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application for licensure must be submitted on forms prescribed by the board accompanied by applicable fees.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 is required for each physical address or site at which fireworks are manufactured, sold, or stored.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copy of the appropriate license issued by the South Carolina Department of Revenue for retail sales of fireworks must accompany each application for a retail fireworks sales license.</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licenses and permits may only be issued for one calendar year.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Licenses must be prominently displayed at the licensee’s place of business approved for the manufacture, sales, or storage of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Licenses issued by the board are nontransferable.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shall set fees for licenses and other incurred administrative costs.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is not required for: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manufacture, sale, storage, transportation, handling, or any combination of these, including, but not limited to, railroad torpedoes, automotive, aeronautical, and marine flares and smoke signals;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transportation, storage, handling, or use of fireworks, or any combination of these, by the Armed Forces of the United States;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transportation, handling, or use of fireworks, or any combination of these, by the State Fire Marshal, his employees, or any commissioned law enforcement officers acting within their official capacities; 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deregulated by the U.S. Department of Transportation.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szCs w:val="24"/>
          <w:u w:val="single"/>
        </w:rPr>
        <w:t>Section 40</w:t>
      </w:r>
      <w:r>
        <w:rPr>
          <w:szCs w:val="24"/>
          <w:u w:val="single"/>
        </w:rPr>
        <w:noBreakHyphen/>
        <w:t>56</w:t>
      </w:r>
      <w:r>
        <w:rPr>
          <w:szCs w:val="24"/>
          <w:u w:val="single"/>
        </w:rPr>
        <w:noBreakHyphen/>
        <w:t>70.</w:t>
      </w:r>
      <w:r>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investigate complaints and violations of this chapter as provided for in Chapter 1.</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or any authorized agents may enter during reasonable business hours the premises or vehicle of a person engaged in the manufacture, sale, or storage of pyrotechnics to inspect, investigate, or examine the properties or installations they consider necessary. When an emergency exists, as declared by the department, the inspector may enter the premises of a person and take necessary action for public safety including, but not limited to, the evacuation of the area in which the emergency exists.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 chiefs and their inspectors, sheriffs and their deputies, chiefs of police and their officers, and SLED agents have the authority to inspect any building, facility, or vehicle where fireworks may be manufactured, stored, or sold and any records of manufacturing, storage, sales, and purchases that are required to be maintained.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Any official named in this section, having the authority to inspect, may confiscate any illegal fireworks being manufactured, offered for sale, stored, or possessed.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compel the attendance of witnesses to testify in relation to a matter within its jurisdiction.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has jurisdiction over the actions of licensees and former licensees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a determination by the board that grounds for discipline exist, the board is authorized to:</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issue a public reprimand;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impose a civil penalty not to exceed two thousand five hundred dollars;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 the license.</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take disciplinary action against a person for: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grounds stated in Chapter 1; 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condition found as a result of an inspection, examination, or investigation provided for in 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 that is hazardous to public safety.</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deny licensure to an applicant based on the same grounds for which the board may take disciplinary action against a licensee.</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be denied based on a person’s prior criminal record only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under investigation for a violation of this chapter or a regulation promulgated pursuant to this chapter may voluntarily surrender the license pursuant to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aggrieved by a final action of the board may seek review of the decision pursuant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found in violation of this chapter or a regulation promulgated pursuant this chapter may be required to pay costs associated with the investigation and prosecution of the case pursuant to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costs and fines imposed pursuant to this chapter must be paid in accordance with, and are subject to, the collection and enforcement provisions of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Investigations and proceedings conducted under the provisions of this chapter are confidential, and all communications are privileged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does not repeal, amend, or otherwise affect fire codes and regulations adopted by the State Fire Marshal.</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initiating a criminal proceeding for a violation of this chapter, the board may seek civil penalties and injunctive relief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facilities for the manufacturing, sales, or storage of fireworks must comply with regulations established by the board.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Retail sale and use of small bottle rockets are not legal within South Carolina. Small bottle rockets are consumer fireworks with motors less than one</w:t>
      </w:r>
      <w:r>
        <w:rPr>
          <w:rFonts w:eastAsiaTheme="minorHAnsi"/>
          <w:color w:val="000000" w:themeColor="text1"/>
          <w:szCs w:val="22"/>
          <w:u w:val="single" w:color="000000" w:themeColor="text1"/>
        </w:rPr>
        <w:noBreakHyphen/>
        <w:t>half inch in diameter and three inches in length, a stabilizing stick less than fifteen inches in length, and a total pyrotechnic composition not exceeding twenty grams in weight.</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may not be sold to anyone under the age of sixteen.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application for a retail fireworks sales license must be accompanied by evidence that the applicant holds a policy or policies providing public liability insurance coverage for retail sales activities at the location for the permitted sale period, which policy or policies are issued by an insurance company or companies authorized to do business in this State and which policy or policies provide coverage in the following minimum amounts: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million dollars for injuries or damage to any one person in one accident or occurrence;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for injuries to two or more persons in any accident or occurrence; and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combined single</w:t>
      </w:r>
      <w:r>
        <w:rPr>
          <w:rFonts w:eastAsiaTheme="minorHAnsi"/>
          <w:color w:val="000000" w:themeColor="text1"/>
          <w:szCs w:val="22"/>
          <w:u w:val="single" w:color="000000" w:themeColor="text1"/>
        </w:rPr>
        <w:noBreakHyphen/>
        <w:t>limit coverage for any one accident or occurrence.</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policy, except those policies issued for fewer than ninety days’ use for seasonal permits, by its original term or an endorsement, shall obligate the insurer that the insurer will not cancel, suspend, or nonrenew the policy without thirty days’ written notice of the proposed cancellation, suspension, or nonrenewal being given to the board. If liability insurance is canceled, suspended, or nonrenewed, the insured shall give immediate notice to the board.</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store display fireworks in this State unless the person has obtained a wholesale license from the board.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Only licensed wholesalers shall sell or provide fireworks for displays.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buildings and structures used to store display fireworks must meet regulations established by the board.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These license holders also must comply with U.S. Bureau of Alcohol, Tobacco, and Firearms regulations.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authorized under this section are separate from and in addition to all other remedies, either civil or criminal.</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assessed pursuant to this section may not exceed two thousand five hundred dollars for each violation.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owner, manager, or operator of any location regulated by this chapter shall report to the board within twenty</w:t>
      </w:r>
      <w:r>
        <w:rPr>
          <w:rFonts w:eastAsiaTheme="minorHAnsi"/>
          <w:color w:val="000000" w:themeColor="text1"/>
          <w:szCs w:val="22"/>
          <w:u w:val="single" w:color="000000" w:themeColor="text1"/>
        </w:rPr>
        <w:noBreakHyphen/>
        <w:t>four hours of any fire or explosion of which the person has knowledge, with as complete detail as possible, together with evidence as he has obtained after investigation of the fire or explosion. Reports filed pursuant to this section are confidential and for the use of the board only pending investigation completion.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7E67" w:rsidRDefault="00CE7E67" w:rsidP="00790887">
      <w:pPr>
        <w:suppressAutoHyphens/>
      </w:pPr>
    </w:p>
    <w:sectPr w:rsidR="00CE7E67" w:rsidSect="00EA7F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E67" w:rsidRDefault="00EA7FA3">
      <w:r>
        <w:separator/>
      </w:r>
    </w:p>
  </w:endnote>
  <w:endnote w:type="continuationSeparator" w:id="1">
    <w:p w:rsidR="00CE7E67" w:rsidRDefault="00EA7F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E5124E-C6DB-412F-9264-CE91A2EFE201}"/>
    <w:embedBold r:id="rId2" w:fontKey="{A1F8BA9A-4D3D-46D6-921B-72751B723237}"/>
  </w:font>
  <w:font w:name="Calibri">
    <w:panose1 w:val="020F0502020204030204"/>
    <w:charset w:val="00"/>
    <w:family w:val="swiss"/>
    <w:pitch w:val="variable"/>
    <w:sig w:usb0="A00002EF" w:usb1="4000207B" w:usb2="00000000" w:usb3="00000000" w:csb0="0000009F" w:csb1="00000000"/>
    <w:embedRegular r:id="rId3" w:fontKey="{3170B2D8-7885-4CBF-A991-8DF4BB574237}"/>
  </w:font>
  <w:font w:name="Cambria">
    <w:panose1 w:val="02040503050406030204"/>
    <w:charset w:val="00"/>
    <w:family w:val="roman"/>
    <w:pitch w:val="variable"/>
    <w:sig w:usb0="A00002EF" w:usb1="4000004B" w:usb2="00000000" w:usb3="00000000" w:csb0="0000009F" w:csb1="00000000"/>
    <w:embedRegular r:id="rId4" w:fontKey="{3285C4E2-A0AC-4E74-ACD5-9277399252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E67" w:rsidRDefault="00EA7FA3">
    <w:pPr>
      <w:pStyle w:val="Footer"/>
      <w:tabs>
        <w:tab w:val="clear" w:pos="4680"/>
        <w:tab w:val="clear" w:pos="9360"/>
        <w:tab w:val="center" w:pos="2995"/>
      </w:tabs>
      <w:spacing w:before="120"/>
    </w:pPr>
    <w:r>
      <w:t>[3941-</w:t>
    </w:r>
    <w:fldSimple w:instr=" PAGE  \* MERGEFORMAT ">
      <w:r w:rsidR="0079088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FA3" w:rsidRDefault="00EA7FA3">
    <w:pPr>
      <w:pStyle w:val="Footer"/>
      <w:tabs>
        <w:tab w:val="clear" w:pos="4680"/>
        <w:tab w:val="clear" w:pos="9360"/>
        <w:tab w:val="center" w:pos="2995"/>
      </w:tabs>
      <w:spacing w:before="120"/>
    </w:pPr>
    <w:r>
      <w:t>[3941]</w:t>
    </w:r>
    <w:r>
      <w:tab/>
    </w:r>
    <w:fldSimple w:instr=" PAGE  \* MERGEFORMAT ">
      <w:r w:rsidR="007908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E67" w:rsidRDefault="00EA7FA3">
      <w:r>
        <w:separator/>
      </w:r>
    </w:p>
  </w:footnote>
  <w:footnote w:type="continuationSeparator" w:id="1">
    <w:p w:rsidR="00CE7E67" w:rsidRDefault="00EA7F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11MM09"/>
    <w:docVar w:name="CoverBillType" w:val="b"/>
    <w:docVar w:name="docpath" w:val="L:\Council\bills\AGM\19411MM09.DOCX"/>
    <w:docVar w:name="dvBillNumber" w:val="3941"/>
    <w:docVar w:name="dvBillNumberPrefix" w:val="H. "/>
    <w:docVar w:name="dvOriginalBody" w:val="House"/>
    <w:docVar w:name="dvSteno" w:val="AGM"/>
    <w:docVar w:name="NameofBody" w:val="h"/>
    <w:docVar w:name="vgroup2" w:val="Council"/>
  </w:docVars>
  <w:rsids>
    <w:rsidRoot w:val="00CE7E67"/>
    <w:rsid w:val="002B14CA"/>
    <w:rsid w:val="00790887"/>
    <w:rsid w:val="007C6D0C"/>
    <w:rsid w:val="00CE7E67"/>
    <w:rsid w:val="00EA7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E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E7E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E67"/>
    <w:rPr>
      <w:rFonts w:eastAsia="Times New Roman" w:cs="Times New Roman"/>
      <w:b/>
      <w:sz w:val="30"/>
      <w:szCs w:val="20"/>
    </w:rPr>
  </w:style>
  <w:style w:type="paragraph" w:styleId="Header">
    <w:name w:val="header"/>
    <w:basedOn w:val="Normal"/>
    <w:link w:val="HeaderChar"/>
    <w:uiPriority w:val="99"/>
    <w:semiHidden/>
    <w:unhideWhenUsed/>
    <w:rsid w:val="00CE7E67"/>
    <w:pPr>
      <w:tabs>
        <w:tab w:val="center" w:pos="4320"/>
        <w:tab w:val="right" w:pos="8640"/>
      </w:tabs>
    </w:pPr>
  </w:style>
  <w:style w:type="character" w:customStyle="1" w:styleId="HeaderChar">
    <w:name w:val="Header Char"/>
    <w:basedOn w:val="DefaultParagraphFont"/>
    <w:link w:val="Header"/>
    <w:uiPriority w:val="99"/>
    <w:semiHidden/>
    <w:rsid w:val="00CE7E67"/>
    <w:rPr>
      <w:rFonts w:eastAsia="Times New Roman" w:cs="Times New Roman"/>
      <w:szCs w:val="20"/>
    </w:rPr>
  </w:style>
  <w:style w:type="paragraph" w:styleId="Footer">
    <w:name w:val="footer"/>
    <w:basedOn w:val="Normal"/>
    <w:link w:val="FooterChar"/>
    <w:uiPriority w:val="99"/>
    <w:unhideWhenUsed/>
    <w:rsid w:val="00CE7E67"/>
    <w:pPr>
      <w:tabs>
        <w:tab w:val="center" w:pos="4680"/>
        <w:tab w:val="right" w:pos="9360"/>
      </w:tabs>
    </w:pPr>
  </w:style>
  <w:style w:type="character" w:customStyle="1" w:styleId="FooterChar">
    <w:name w:val="Footer Char"/>
    <w:basedOn w:val="DefaultParagraphFont"/>
    <w:link w:val="Footer"/>
    <w:uiPriority w:val="99"/>
    <w:rsid w:val="00CE7E67"/>
    <w:rPr>
      <w:rFonts w:eastAsia="Times New Roman" w:cs="Times New Roman"/>
      <w:szCs w:val="20"/>
    </w:rPr>
  </w:style>
  <w:style w:type="character" w:styleId="PageNumber">
    <w:name w:val="page number"/>
    <w:basedOn w:val="DefaultParagraphFont"/>
    <w:uiPriority w:val="99"/>
    <w:semiHidden/>
    <w:unhideWhenUsed/>
    <w:rsid w:val="00CE7E67"/>
  </w:style>
  <w:style w:type="character" w:styleId="LineNumber">
    <w:name w:val="line number"/>
    <w:basedOn w:val="DefaultParagraphFont"/>
    <w:uiPriority w:val="99"/>
    <w:semiHidden/>
    <w:unhideWhenUsed/>
    <w:rsid w:val="00CE7E67"/>
  </w:style>
  <w:style w:type="paragraph" w:customStyle="1" w:styleId="BillDots">
    <w:name w:val="Bill Dots"/>
    <w:basedOn w:val="Normal"/>
    <w:qFormat/>
    <w:rsid w:val="00CE7E6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E7E67"/>
    <w:pPr>
      <w:tabs>
        <w:tab w:val="right" w:pos="5904"/>
      </w:tabs>
    </w:pPr>
  </w:style>
  <w:style w:type="character" w:styleId="FollowedHyperlink">
    <w:name w:val="FollowedHyperlink"/>
    <w:basedOn w:val="DefaultParagraphFont"/>
    <w:uiPriority w:val="99"/>
    <w:semiHidden/>
    <w:unhideWhenUsed/>
    <w:rsid w:val="002B14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3157</Words>
  <Characters>16829</Characters>
  <Application>Microsoft Office Word</Application>
  <DocSecurity>0</DocSecurity>
  <Lines>431</Lines>
  <Paragraphs>128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2009-04-21T16:28:00Z</cp:lastPrinted>
  <dcterms:created xsi:type="dcterms:W3CDTF">2009-04-30T22:31:00Z</dcterms:created>
  <dcterms:modified xsi:type="dcterms:W3CDTF">2009-04-30T22:31:00Z</dcterms:modified>
</cp:coreProperties>
</file>