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MEMORIALIZE THE NATIONAL COLLEGIATE ATHLETIC ASSOCIATION (NCAA) TO CHOOSE COLUMBIA AS A HOST CITY FOR AN NCAA BASKETBALL TOURNAMENT REGIONAL GAME OR THE FINAL FOUR.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City of Columbia, South Carolina, is ideally and uniquely situated to be a host city for the NCAA basketball tournament;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Columbia is the site of the Colonial Life Arena, which opened in 2002 as the largest arena in this State and the tenth largest on</w:t>
      </w:r>
      <w:r>
        <w:noBreakHyphen/>
        <w:t>campus facility in the nation;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nearly eighteen thousand fans have a close</w:t>
      </w:r>
      <w:r>
        <w:noBreakHyphen/>
        <w:t>to</w:t>
      </w:r>
      <w:r>
        <w:noBreakHyphen/>
        <w:t>the</w:t>
      </w:r>
      <w:r>
        <w:noBreakHyphen/>
        <w:t>action seat, thanks to the arena’s intimate double</w:t>
      </w:r>
      <w:r>
        <w:noBreakHyphen/>
        <w:t>deck design, or they can follow the action on the scoreboard’s four high definition video screens;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citizens of Columbia and across the State are knowledgeable and loyal collegiate basketball fans, having been blessed with a legacy of winning programs over the years at many of South Carolina’s public and private institutions of higher learning and a reputation for producing top</w:t>
      </w:r>
      <w:r>
        <w:noBreakHyphen/>
        <w:t>notch professional players;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City of Columbia is easy to access by interstate highway, air, or rail and is a pleasure to visit with its gracious Southern hospitality;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as a host city for the NCAA basketball tournament, Columbia would offer a complete package to the NCAA and to the visiting fans.  Now, therefore,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Assembly, by this resolution, memorialize the National Collegiate Athletic Association (NCAA) to choose Columbia as a host city for an NCAA basketball tournament regional game or the Final Four.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National Collegiate Athletic Association.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ECDF4D-B11F-4DDE-BE25-B3BA668604C7}"/>
    <w:embedBold r:id="rId2" w:fontKey="{CD3B0102-8983-4563-B9F3-C4230E7569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93D96C5-7CFF-4F99-9156-478CD575CC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A203E91-6A9D-4E69-B7A6-82BC32CA96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9425MM09"/>
    <w:docVar w:name="CoverBillType" w:val="c"/>
    <w:docVar w:name="docpath" w:val="L:\Council\bills\AGM\19425MM09.DOCX"/>
    <w:docVar w:name="dvBillNumber" w:val="3971"/>
    <w:docVar w:name="dvBillNumberPrefix" w:val="H. "/>
    <w:docVar w:name="dvOriginalBody" w:val="House"/>
    <w:docVar w:name="dvSteno" w:val="A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MORGAN</dc:creator>
  <cp:keywords/>
  <dc:description/>
  <cp:lastModifiedBy>NSC</cp:lastModifiedBy>
  <cp:revision>2</cp:revision>
  <dcterms:created xsi:type="dcterms:W3CDTF">2009-04-28T17:35:00Z</dcterms:created>
  <dcterms:modified xsi:type="dcterms:W3CDTF">2009-04-28T17:35:00Z</dcterms:modified>
</cp:coreProperties>
</file>