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34 IN TITLE 12 SO AS TO ENACT THE “SOUTH CAROLINA FAIR TAX ACT”, EFFECTIVE JANUARY 1, 2011, AND TO REPEAL, EFFECTIVE AT THE SAME TIME, CHAPTERS 6, 8, 11, 13, 16, AND 36, ALL OF TITLE 12, RELATING RESPECTIVELY TO THE SOUTH CAROLINA INCOME TAX ACT, INCOME TAX WITHHOLDING, THE INCOME TAX ON BANKS AND SAVINGS AND LOAN ASSOCIATIONS, THE SOUTH CAROLINA ESTATE TAX ACT, AND THE SOUTH CAROLINA SALES TAX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12 of the 1976 Cod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South Carolina Fair Tax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Citations and 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34</w:t>
      </w:r>
      <w:r>
        <w:noBreakHyphen/>
        <w:t>10.</w:t>
      </w:r>
      <w:r>
        <w:tab/>
        <w:t>This chapter may be cited as the ‘South Carolina Fair Tax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34</w:t>
      </w:r>
      <w:r>
        <w:noBreakHyphen/>
        <w:t>20.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Any court, the director, and the Department of Revenue shall consider the purposes of this chapter as pursuant to subsection (B) of this section as the primary aid in statutory construction.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The purposes of this chapter are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raise revenue needed by the state government in a manner consistent with the other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 tax all consumption of goods and services in this State without exception, but only once;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prevent double, multiple, or cascading taxation;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simplify the tax law and reduce the administration costs of, and the costs of compliance with, the tax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As a secondary aid in statutory construction, any court, the director, and the Department of Revenue shall consider: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common law canons of statutory construction;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meaning and construction of concepts and terms used in the 1976 Code as in effect before the effective date of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construe any ambiguities in this act in favor of reserving powers to the people.”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Chapters 6, 8, 11, 13, 16, and 36 of Title 12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all affected taxable periods beginning after December 31,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CEC37F-A659-401D-86AD-71131396F817}"/>
    <w:embedBold r:id="rId2" w:fontKey="{E4DBFD16-3754-41E8-B6B7-D29C479D1070}"/>
  </w:font>
  <w:font w:name="Calibri">
    <w:panose1 w:val="020F0502020204030204"/>
    <w:charset w:val="00"/>
    <w:family w:val="swiss"/>
    <w:pitch w:val="variable"/>
    <w:sig w:usb0="A00002EF" w:usb1="4000207B" w:usb2="00000000" w:usb3="00000000" w:csb0="0000009F" w:csb1="00000000"/>
    <w:embedRegular r:id="rId3" w:fontKey="{9E6FF326-C8BC-42CF-97D6-541194B9CFA2}"/>
  </w:font>
  <w:font w:name="Cambria">
    <w:panose1 w:val="02040503050406030204"/>
    <w:charset w:val="00"/>
    <w:family w:val="roman"/>
    <w:pitch w:val="variable"/>
    <w:sig w:usb0="A00002EF" w:usb1="4000004B" w:usb2="00000000" w:usb3="00000000" w:csb0="0000009F" w:csb1="00000000"/>
    <w:embedRegular r:id="rId4" w:fontKey="{4F9E5F57-2824-41ED-BBDE-84227B573A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373HTC09"/>
    <w:docVar w:name="CoverBillType" w:val="b"/>
    <w:docVar w:name="docpath" w:val="L:\Council\bills\BBM\9373HTC09.DOCX"/>
    <w:docVar w:name="dvBillNumber" w:val="3992"/>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2009-04-29T14:46:00Z</cp:lastPrinted>
  <dcterms:created xsi:type="dcterms:W3CDTF">2009-04-29T15:53:00Z</dcterms:created>
  <dcterms:modified xsi:type="dcterms:W3CDTF">2009-04-29T15:53:00Z</dcterms:modified>
</cp:coreProperties>
</file>