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2</w:t>
      </w:r>
      <w:r>
        <w:noBreakHyphen/>
        <w:t>190, CODE OF LAWS OF SOUTH CAROLINA, 1976, RELATING TO THE COUNTY JURY AREA DESIGNATIONS FOR USE IN MAGISTRATES COURTS, SO AS TO REVISE THE JURY AREAS FOR LAURENS COUNTY TO PROVIDE FOR ONE JURY AREA COUNTYWIDE.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2</w:t>
      </w:r>
      <w:r>
        <w:noBreakHyphen/>
        <w:t>190(30)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(30)</w:t>
      </w:r>
      <w:r>
        <w:rPr>
          <w:szCs w:val="24"/>
        </w:rPr>
        <w:tab/>
        <w:t xml:space="preserve">Laurens County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Jury Area No. 1 includes the following voting precincts: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Longbranch, Renno, Shady Grove, Joanna, Hopewell, Cross Hill, Mountville, Bailey, Lydia Mill, Clinton Mill, Clinton No. 1, and Clinton No.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Jury Area No. 2 includes the following voting precincts: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Laurens No. 1, Laurens No. 2, Laurens No. 3, Laurens No. 4, Laurens No. 5, Laurens No. 6, Trinity Ridge, Wattsville, Barksdale</w:t>
      </w:r>
      <w:r>
        <w:rPr>
          <w:strike/>
          <w:szCs w:val="24"/>
        </w:rPr>
        <w:noBreakHyphen/>
        <w:t xml:space="preserve">Narnie, Madden, Shiloh, Lanford, Ora, Waterloo, Tip Top, Daniels Store, Ekom, Mount Olive, Mount Pleasant, Hickory Tavern, Poplar Springs, Princeton, and Brewerton.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Jury Area No. 3 includes the following voting precincts: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szCs w:val="24"/>
        </w:rPr>
        <w:t>Jones Store, Owings, Gray Court, Woodville, Dials, Cooks Store, Youngs, Grays, Pleasant Mound, and Stewarts Store</w:t>
      </w:r>
      <w:r>
        <w:rPr>
          <w:szCs w:val="24"/>
        </w:rPr>
        <w:t xml:space="preserve"> </w:t>
      </w:r>
      <w:r>
        <w:rPr>
          <w:szCs w:val="24"/>
          <w:u w:val="single"/>
        </w:rPr>
        <w:t>One jury area countywide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57FE7E-83D6-4A5E-AFCF-AB09FE57D015}"/>
    <w:embedBold r:id="rId2" w:fontKey="{56D51E1F-CAFE-4C20-B52A-C424DBA59D01}"/>
  </w:font>
  <w:font w:name="Calibri">
    <w:panose1 w:val="020F0502020204030204"/>
    <w:charset w:val="00"/>
    <w:family w:val="swiss"/>
    <w:pitch w:val="variable"/>
    <w:sig w:usb0="A00002EF" w:usb1="4000207B" w:usb2="00000000" w:usb3="00000000" w:csb0="0000009F" w:csb1="00000000"/>
    <w:embedRegular r:id="rId3" w:fontKey="{48AF0E4B-C36E-4D52-B5BB-42C8EFAA0E9D}"/>
  </w:font>
  <w:font w:name="Cambria">
    <w:panose1 w:val="02040503050406030204"/>
    <w:charset w:val="00"/>
    <w:family w:val="roman"/>
    <w:pitch w:val="variable"/>
    <w:sig w:usb0="A00002EF" w:usb1="4000004B" w:usb2="00000000" w:usb3="00000000" w:csb0="0000009F" w:csb1="00000000"/>
    <w:embedRegular r:id="rId4" w:fontKey="{317A0859-416E-4546-A1E5-2079105FC7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84AHB09"/>
    <w:docVar w:name="CoverBillType" w:val="b"/>
    <w:docVar w:name="docpath" w:val="L:\Council\bills\MS\7384AHB09.DOCX"/>
    <w:docVar w:name="dvBillNumber" w:val="4048"/>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1061</Characters>
  <Application>Microsoft Office Word</Application>
  <DocSecurity>0</DocSecurity>
  <Lines>8</Lines>
  <Paragraphs>2</Paragraphs>
  <ScaleCrop>false</ScaleCrop>
  <Company> </Company>
  <LinksUpToDate>false</LinksUpToDate>
  <CharactersWithSpaces>1244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2009-05-13T15:01:00Z</cp:lastPrinted>
  <dcterms:created xsi:type="dcterms:W3CDTF">2009-05-14T14:36:00Z</dcterms:created>
  <dcterms:modified xsi:type="dcterms:W3CDTF">2009-05-14T14:36:00Z</dcterms:modified>
</cp:coreProperties>
</file>