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transition from childhood to adulthood, adolescents often establish unhealthy patterns of behavior and make poor lifestyle choices that affect both their current and future health, and eighty percent of adolescents who are obese will remain obese as adults;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adolescence is a critical time to develop positive habits and skills that can lead to healthy lifestyles and behavior over a young person’s lifetime;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many young people may not have access to primary health care, and environmental factors such as family, peer group, school, and community characteristics contribute to the challenges they face;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ACIP, American Academy of Pediatrics, American Academy of Family Practitioners, and the American Medical Association recommend a routine healthcare visit for adolescents aged eleven to twelve to receive recommended immunizations and other evidence</w:t>
      </w:r>
      <w:r>
        <w:rPr>
          <w:rFonts w:eastAsiaTheme="minorHAnsi"/>
          <w:color w:val="000000" w:themeColor="text1"/>
          <w:szCs w:val="22"/>
          <w:u w:color="000000" w:themeColor="text1"/>
        </w:rPr>
        <w:noBreakHyphen/>
        <w:t>based preventative healthcare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Health Resources and Services Administration of the United States Department of Health and Human Services has developed, in conjunction with the American Academy of </w:t>
      </w:r>
      <w:r>
        <w:rPr>
          <w:rFonts w:eastAsiaTheme="minorHAnsi"/>
          <w:color w:val="000000" w:themeColor="text1"/>
          <w:szCs w:val="22"/>
          <w:u w:color="000000" w:themeColor="text1"/>
        </w:rPr>
        <w:lastRenderedPageBreak/>
        <w:t>Pediatrics, the Bright Futures Initiative, which provides a set of guidelines including recommendations on immunizations and routine health screenings for adolescents;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Immunization Survey undertaken by the Center for Disease Control found that immunization coverage levels among adolescents in 2006 did not meet the Healthy People 2010 objective of ninety percent coverage for thirteen to fifteen year olds for any of the vaccines measured;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Society for Adolescent Medicine has found that adolescent well visits are one of the best tools of preventative care to ensure continued health from childhood to adulthood and that children and adolescents who regularly visit a primary care physician are less likely to have emergency room visits and preventable hospitalizations;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adolescents remain under the guardianship of their parents, parental awareness of the need for an adolescent well visit plays an enormous role in the incidence of adolescent well visits;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it is vital to the future of this great State that its young people remain healthy so that they may make valuable, lasting contributions to their communities and to this nation.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of the State of South Carolina, by this resolution,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Kathleen Sebelius, Director of the United States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07BC7-8915-440E-821C-262002FD8B02}"/>
    <w:embedBold r:id="rId2" w:fontKey="{BC7412D8-866E-4F94-8C0D-FECB8F0E8E2B}"/>
  </w:font>
  <w:font w:name="Calibri">
    <w:panose1 w:val="020F0502020204030204"/>
    <w:charset w:val="00"/>
    <w:family w:val="swiss"/>
    <w:pitch w:val="variable"/>
    <w:sig w:usb0="A00002EF" w:usb1="4000207B" w:usb2="00000000" w:usb3="00000000" w:csb0="0000009F" w:csb1="00000000"/>
    <w:embedRegular r:id="rId3" w:fontKey="{330A801B-E29A-4257-8254-3D60EF2791A2}"/>
  </w:font>
  <w:font w:name="Tahoma">
    <w:panose1 w:val="020B0604030504040204"/>
    <w:charset w:val="00"/>
    <w:family w:val="swiss"/>
    <w:pitch w:val="variable"/>
    <w:sig w:usb0="61002A87" w:usb1="80000000" w:usb2="00000008" w:usb3="00000000" w:csb0="000101FF" w:csb1="00000000"/>
    <w:embedRegular r:id="rId4" w:fontKey="{4AE1FD24-F174-468C-BDB5-2F0AEC52FC33}"/>
  </w:font>
  <w:font w:name="Cambria">
    <w:panose1 w:val="02040503050406030204"/>
    <w:charset w:val="00"/>
    <w:family w:val="roman"/>
    <w:pitch w:val="variable"/>
    <w:sig w:usb0="A00002EF" w:usb1="4000004B" w:usb2="00000000" w:usb3="00000000" w:csb0="0000009F" w:csb1="00000000"/>
    <w:embedRegular r:id="rId5" w:fontKey="{59E8D658-3D1D-44DA-93F8-948004EA5A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14BH09"/>
    <w:docVar w:name="CoverBillType" w:val="c"/>
    <w:docVar w:name="docpath" w:val="L:\Council\bills\NBD\11514BH09.DOCX"/>
    <w:docVar w:name="dvBillNumber" w:val="4054"/>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2820</Characters>
  <Application>Microsoft Office Word</Application>
  <DocSecurity>0</DocSecurity>
  <Lines>23</Lines>
  <Paragraphs>6</Paragraphs>
  <ScaleCrop>false</ScaleCrop>
  <Company> </Company>
  <LinksUpToDate>false</LinksUpToDate>
  <CharactersWithSpaces>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2009-05-14T13:48:00Z</cp:lastPrinted>
  <dcterms:created xsi:type="dcterms:W3CDTF">2009-05-14T14:49:00Z</dcterms:created>
  <dcterms:modified xsi:type="dcterms:W3CDTF">2009-05-14T14:49:00Z</dcterms:modified>
</cp:coreProperties>
</file>