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2009</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Pr="00F12941" w:rsidRDefault="00F12941" w:rsidP="00F12941">
      <w:pPr>
        <w:tabs>
          <w:tab w:val="right" w:pos="5933"/>
        </w:tabs>
        <w:suppressAutoHyphens/>
      </w:pPr>
      <w:r>
        <w:tab/>
      </w:r>
      <w:r>
        <w:rPr>
          <w:b/>
          <w:sz w:val="36"/>
        </w:rPr>
        <w:t>H. 4087</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rsidP="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5/20/09--H.</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F12941" w:rsidRPr="00F12941" w:rsidRDefault="00F12941" w:rsidP="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59 of the 1976 Code is amended by adding:</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53</w:t>
      </w:r>
      <w:r>
        <w:noBreakHyphen/>
        <w:t>350.</w:t>
      </w:r>
      <w:r>
        <w:tab/>
        <w:t>There is created the Greenville Technical College Area Commission which is a body politic and corporate and the governing body of Greenville Technical College.  The commission consists of the following twelve members, all who must be appointed by the Greenville County Legislative Delegation:</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Superintendent of Greenville County School District,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a representative of the University Center of Greenville,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Director of Workforce Development, who shall serve ex officio; </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member selected upon the recommendation of the Chairman of the Greenville County Council, who may not be a current council member and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(5)</w:t>
      </w:r>
      <w:r>
        <w:tab/>
        <w:t>a member selected upon the recommendation of the chairman of the Greenville County Legislative Delegation, who shall serve ex officio;</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one member selected from either House District 17 or House District 18;</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one member selected from either House District 20 or House District 22;</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one member selected from either House District 23 or House District 25;</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one member selected from either House District 19 or House District 26;</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one member selected from either House District 21 or House District 24;</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one member selected from either House District 27 or House District 28; and</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one member selected at large.</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member of the area commission shall serve for a term of four years, except that the member selected upon the recommendation of the Chairman of the Greenville County Council and the member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29D" w:rsidRDefault="00FE129D" w:rsidP="0012335C">
      <w:pPr>
        <w:suppressAutoHyphens/>
      </w:pP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29D" w:rsidRDefault="00F12941">
      <w:r>
        <w:separator/>
      </w:r>
    </w:p>
  </w:endnote>
  <w:endnote w:type="continuationSeparator" w:id="1">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9B7AED-FEA9-4089-B1E0-999383E94BE6}"/>
    <w:embedBold r:id="rId2" w:fontKey="{3D20B064-EBDD-4AAA-8A16-068D225D29CF}"/>
  </w:font>
  <w:font w:name="Calibri">
    <w:panose1 w:val="020F0502020204030204"/>
    <w:charset w:val="00"/>
    <w:family w:val="swiss"/>
    <w:pitch w:val="variable"/>
    <w:sig w:usb0="A00002EF" w:usb1="4000207B" w:usb2="00000000" w:usb3="00000000" w:csb0="0000009F" w:csb1="00000000"/>
    <w:embedRegular r:id="rId3" w:fontKey="{10A0B3E0-8A2D-41FF-B554-466B4A093F92}"/>
  </w:font>
  <w:font w:name="Cambria">
    <w:panose1 w:val="02040503050406030204"/>
    <w:charset w:val="00"/>
    <w:family w:val="roman"/>
    <w:pitch w:val="variable"/>
    <w:sig w:usb0="A00002EF" w:usb1="4000004B" w:usb2="00000000" w:usb3="00000000" w:csb0="0000009F" w:csb1="00000000"/>
    <w:embedRegular r:id="rId4" w:fontKey="{CE7FFCB9-2169-4F86-8564-280A6EE20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1233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1233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29D" w:rsidRDefault="00F12941">
      <w:r>
        <w:separator/>
      </w:r>
    </w:p>
  </w:footnote>
  <w:footnote w:type="continuationSeparator" w:id="1">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12335C"/>
    <w:rsid w:val="00244CE2"/>
    <w:rsid w:val="00AD7A0F"/>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2183</Characters>
  <Application>Microsoft Office Word</Application>
  <DocSecurity>0</DocSecurity>
  <Lines>83</Lines>
  <Paragraphs>33</Paragraphs>
  <ScaleCrop>false</ScaleCrop>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AMH</cp:lastModifiedBy>
  <cp:revision>2</cp:revision>
  <dcterms:created xsi:type="dcterms:W3CDTF">2009-05-20T21:20:00Z</dcterms:created>
  <dcterms:modified xsi:type="dcterms:W3CDTF">2009-05-20T21:20:00Z</dcterms:modified>
</cp:coreProperties>
</file>