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29</w:t>
      </w:r>
      <w:r>
        <w:noBreakHyphen/>
        <w:t>170, AS AMENDED, CODE OF LAWS OF SOUTH CAROLINA, 1976,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AND TO REQUIRE THE COMMISSION TO RESPOND TO A REQUEST FROM AN AGENCY DESIGNATED BY THE GOVERNOR TO ENHANCE ECONOMIC DEVELOPMENT AND CREATE JOBS WITH INFORMATION OBTAINED PURSUANT TO THE PROVISIONS OF CHAPTERS 27 THROUGH 42 CONSIDERED NECESSARY TO THE REQUESTING AGENCY FOR ECONOMIC DEVELOPMENT AND WORKFORCE IMPROVEMENT; TO AMEND SECTION 41</w:t>
      </w:r>
      <w:r>
        <w:noBreakHyphen/>
        <w:t>35</w:t>
      </w:r>
      <w:r>
        <w:noBreakHyphen/>
        <w:t>50, RELATING TO THE MAXIMUM POTENTIAL BENEFITS OF AN INSURED 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SECTION</w:t>
      </w:r>
      <w:r>
        <w:tab/>
        <w:t>1.</w:t>
      </w:r>
      <w:r>
        <w:tab/>
      </w:r>
      <w:r>
        <w:rPr>
          <w:szCs w:val="24"/>
        </w:rPr>
        <w:t>Section 41</w:t>
      </w:r>
      <w:r>
        <w:rPr>
          <w:szCs w:val="24"/>
        </w:rPr>
        <w:noBreakHyphen/>
        <w:t>29</w:t>
      </w:r>
      <w:r>
        <w:rPr>
          <w:szCs w:val="24"/>
        </w:rPr>
        <w:noBreakHyphen/>
        <w:t>170 of the 1976 Code, as last amended by Act 203 of 2002,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In response to a request from an agency designated by the Governor to enhance economic development and create jobs, the commission shall provide information obtained pursuant to the provisions of Chapters 27 through 42 considered necessary for economic development and workforce improvement to the requesting agency.  The costs of providing the information, including costs of protesting the privacy of individuals and employing units, must be borne by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41</w:t>
      </w:r>
      <w:r>
        <w:rPr>
          <w:szCs w:val="24"/>
        </w:rPr>
        <w:noBreakHyphen/>
        <w:t>35</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35</w:t>
      </w:r>
      <w:r>
        <w:rPr>
          <w:szCs w:val="24"/>
        </w:rPr>
        <w:noBreakHyphen/>
        <w:t xml:space="preserve">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35</w:t>
      </w:r>
      <w:r>
        <w:rPr>
          <w:szCs w:val="24"/>
        </w:rPr>
        <w:noBreakHyphen/>
        <w:t>120(1), (2), and (6) of the 1976 Code, as last amended by Act 50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for gross misconduct before filing a request for determination of insured status or a request for initiation of a claim series within an established benefit year, with ineligibility beginning with the effective date of the request, and continuing for twenty</w:t>
      </w:r>
      <w:r>
        <w:rPr>
          <w:szCs w:val="24"/>
          <w:u w:val="single"/>
        </w:rPr>
        <w:noBreakHyphen/>
        <w:t>six weeks and until he has performed services in employment, as defined by Chapters 27 through 41 of this title, and earned wages for the services equal to at least ten times the weekly benefit amount of his claim.  ‘Gross misconduct’ as used in this subsubitem includes, but is not limited to, conduct that causes a substantial monetary or property loss to the employer, fighting on the job, patient or client abuse or life</w:t>
      </w:r>
      <w:r>
        <w:rPr>
          <w:szCs w:val="24"/>
          <w:u w:val="single"/>
        </w:rPr>
        <w:noBreakHyphen/>
        <w:t xml:space="preserve">endangering neglect, drug use as defined in subitem (b) of this </w:t>
      </w:r>
      <w:r>
        <w:rPr>
          <w:szCs w:val="24"/>
          <w:u w:val="single"/>
        </w:rPr>
        <w:lastRenderedPageBreak/>
        <w:t>section, working while impaired by alcohol or a legal drug used improperly, or sexual, racial, or religious harassment involving physical acts.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 xml:space="preserve">test results, written or otherwise, received by an employer through a </w:t>
      </w:r>
      <w:r>
        <w:rPr>
          <w:szCs w:val="24"/>
        </w:rPr>
        <w:lastRenderedPageBreak/>
        <w:t>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35</w:t>
      </w:r>
      <w:r>
        <w:rPr>
          <w:szCs w:val="24"/>
        </w:rPr>
        <w:noBreakHyphen/>
        <w:t>120 of the 1976 Code, as last amended by Act 50 of 2005,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from the most recent bona fide employer in the form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5.</w:t>
      </w:r>
      <w:r>
        <w:rPr>
          <w:szCs w:val="24"/>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3E67F6-8841-4A39-8719-1DC3B6F8C65A}"/>
    <w:embedBold r:id="rId2" w:fontKey="{AD0C37A8-1DD5-4811-933F-9C62D8720FAA}"/>
  </w:font>
  <w:font w:name="Calibri">
    <w:panose1 w:val="020F0502020204030204"/>
    <w:charset w:val="00"/>
    <w:family w:val="swiss"/>
    <w:pitch w:val="variable"/>
    <w:sig w:usb0="A00002EF" w:usb1="4000207B" w:usb2="00000000" w:usb3="00000000" w:csb0="0000009F" w:csb1="00000000"/>
    <w:embedRegular r:id="rId3" w:fontKey="{1FAB966A-ED5F-4E0D-A467-6F6893A5D9DE}"/>
  </w:font>
  <w:font w:name="Cambria">
    <w:panose1 w:val="02040503050406030204"/>
    <w:charset w:val="00"/>
    <w:family w:val="roman"/>
    <w:pitch w:val="variable"/>
    <w:sig w:usb0="A00002EF" w:usb1="4000004B" w:usb2="00000000" w:usb3="00000000" w:csb0="0000009F" w:csb1="00000000"/>
    <w:embedRegular r:id="rId4" w:fontKey="{57707ADC-D62B-4BF1-ACA3-ABA1A5865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63DW09"/>
    <w:docVar w:name="CoverBillType" w:val="b"/>
    <w:docVar w:name="docpath" w:val="L:\Council\bills\DKA\3763DW09.DOCX"/>
    <w:docVar w:name="dvBillNumber" w:val="409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1588</Words>
  <Characters>9058</Characters>
  <Application>Microsoft Office Word</Application>
  <DocSecurity>0</DocSecurity>
  <Lines>75</Lines>
  <Paragraphs>21</Paragraphs>
  <ScaleCrop>false</ScaleCrop>
  <Company> </Company>
  <LinksUpToDate>false</LinksUpToDate>
  <CharactersWithSpaces>10625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2009-05-20T14:49:00Z</dcterms:created>
  <dcterms:modified xsi:type="dcterms:W3CDTF">2009-05-20T14:49:00Z</dcterms:modified>
</cp:coreProperties>
</file>